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632"/>
        <w:gridCol w:w="4632"/>
      </w:tblGrid>
      <w:tr w:rsidR="004A01AB" w:rsidRPr="00560B01" w14:paraId="66610862" w14:textId="77777777" w:rsidTr="00E07235">
        <w:tc>
          <w:tcPr>
            <w:tcW w:w="4632" w:type="dxa"/>
          </w:tcPr>
          <w:p w14:paraId="3FADFE1B" w14:textId="56ED1C39" w:rsidR="004A01AB" w:rsidRPr="00560B01" w:rsidRDefault="004A01AB" w:rsidP="00E07235">
            <w:pPr>
              <w:autoSpaceDE w:val="0"/>
              <w:autoSpaceDN w:val="0"/>
              <w:adjustRightInd w:val="0"/>
              <w:rPr>
                <w:rFonts w:ascii="Courier New" w:hAnsi="Courier New" w:cs="Courier New"/>
                <w:b/>
                <w:bCs/>
                <w:color w:val="8C2633"/>
                <w:sz w:val="28"/>
                <w:szCs w:val="28"/>
              </w:rPr>
            </w:pPr>
          </w:p>
        </w:tc>
        <w:tc>
          <w:tcPr>
            <w:tcW w:w="4632" w:type="dxa"/>
          </w:tcPr>
          <w:p w14:paraId="10FA1E17" w14:textId="0D1AC465" w:rsidR="004A01AB" w:rsidRPr="00560B01" w:rsidRDefault="004A01AB" w:rsidP="00246544">
            <w:pPr>
              <w:autoSpaceDE w:val="0"/>
              <w:autoSpaceDN w:val="0"/>
              <w:adjustRightInd w:val="0"/>
              <w:jc w:val="center"/>
              <w:rPr>
                <w:rFonts w:ascii="Courier New" w:hAnsi="Courier New" w:cs="Courier New"/>
                <w:b/>
                <w:bCs/>
                <w:color w:val="8C2633"/>
                <w:sz w:val="28"/>
                <w:szCs w:val="28"/>
              </w:rPr>
            </w:pPr>
          </w:p>
        </w:tc>
      </w:tr>
    </w:tbl>
    <w:p w14:paraId="4AD52BEA" w14:textId="77777777" w:rsidR="00762498" w:rsidRDefault="00762498" w:rsidP="00F20F04">
      <w:pPr>
        <w:autoSpaceDE w:val="0"/>
        <w:autoSpaceDN w:val="0"/>
        <w:adjustRightInd w:val="0"/>
        <w:rPr>
          <w:rFonts w:asciiTheme="minorHAnsi" w:hAnsiTheme="minorHAnsi" w:cs="Arial"/>
          <w:b/>
          <w:bCs/>
          <w:color w:val="A6A6A6" w:themeColor="background1" w:themeShade="A6"/>
          <w:sz w:val="28"/>
          <w:szCs w:val="28"/>
        </w:rPr>
      </w:pPr>
    </w:p>
    <w:p w14:paraId="3FA6122B" w14:textId="77777777" w:rsidR="0069357A" w:rsidRPr="00BB2B20" w:rsidRDefault="0069357A" w:rsidP="0069357A">
      <w:pPr>
        <w:autoSpaceDE w:val="0"/>
        <w:autoSpaceDN w:val="0"/>
        <w:adjustRightInd w:val="0"/>
        <w:rPr>
          <w:rFonts w:asciiTheme="minorHAnsi" w:hAnsiTheme="minorHAnsi" w:cs="Arial"/>
          <w:b/>
          <w:bCs/>
          <w:color w:val="808080" w:themeColor="background1" w:themeShade="80"/>
          <w:sz w:val="28"/>
          <w:szCs w:val="28"/>
        </w:rPr>
      </w:pPr>
      <w:r w:rsidRPr="00BB2B20">
        <w:rPr>
          <w:rFonts w:asciiTheme="minorHAnsi" w:hAnsiTheme="minorHAnsi" w:cs="Arial"/>
          <w:b/>
          <w:bCs/>
          <w:color w:val="808080" w:themeColor="background1" w:themeShade="80"/>
          <w:sz w:val="28"/>
          <w:szCs w:val="28"/>
        </w:rPr>
        <w:t>PRESS RELEASE</w:t>
      </w:r>
    </w:p>
    <w:p w14:paraId="6113CC04" w14:textId="77777777" w:rsidR="0069357A" w:rsidRPr="00BB2B20" w:rsidRDefault="0069357A" w:rsidP="0069357A">
      <w:pPr>
        <w:autoSpaceDE w:val="0"/>
        <w:autoSpaceDN w:val="0"/>
        <w:adjustRightInd w:val="0"/>
        <w:rPr>
          <w:rFonts w:asciiTheme="minorHAnsi" w:hAnsiTheme="minorHAnsi" w:cs="Arial"/>
          <w:b/>
          <w:bCs/>
          <w:color w:val="808080" w:themeColor="background1" w:themeShade="80"/>
          <w:sz w:val="28"/>
          <w:szCs w:val="28"/>
        </w:rPr>
      </w:pPr>
    </w:p>
    <w:p w14:paraId="4F86B1D5" w14:textId="77777777" w:rsidR="0069357A" w:rsidRPr="00BB2B20" w:rsidRDefault="0069357A" w:rsidP="0069357A">
      <w:pPr>
        <w:autoSpaceDE w:val="0"/>
        <w:autoSpaceDN w:val="0"/>
        <w:adjustRightInd w:val="0"/>
        <w:rPr>
          <w:rFonts w:asciiTheme="minorHAnsi" w:hAnsiTheme="minorHAnsi" w:cs="Arial"/>
          <w:b/>
          <w:bCs/>
          <w:color w:val="808080" w:themeColor="background1" w:themeShade="80"/>
          <w:sz w:val="28"/>
          <w:szCs w:val="28"/>
        </w:rPr>
      </w:pPr>
      <w:r w:rsidRPr="00BB2B20">
        <w:rPr>
          <w:rFonts w:asciiTheme="minorHAnsi" w:hAnsiTheme="minorHAnsi" w:cs="Arial"/>
          <w:b/>
          <w:bCs/>
          <w:color w:val="808080" w:themeColor="background1" w:themeShade="80"/>
          <w:sz w:val="28"/>
          <w:szCs w:val="28"/>
        </w:rPr>
        <w:t>16</w:t>
      </w:r>
      <w:r w:rsidRPr="00BB2B20">
        <w:rPr>
          <w:rFonts w:asciiTheme="minorHAnsi" w:hAnsiTheme="minorHAnsi" w:cs="Arial"/>
          <w:b/>
          <w:bCs/>
          <w:color w:val="808080" w:themeColor="background1" w:themeShade="80"/>
          <w:sz w:val="28"/>
          <w:szCs w:val="28"/>
          <w:vertAlign w:val="superscript"/>
        </w:rPr>
        <w:t>th</w:t>
      </w:r>
      <w:r w:rsidRPr="00BB2B20">
        <w:rPr>
          <w:rFonts w:asciiTheme="minorHAnsi" w:hAnsiTheme="minorHAnsi" w:cs="Arial"/>
          <w:b/>
          <w:bCs/>
          <w:color w:val="808080" w:themeColor="background1" w:themeShade="80"/>
          <w:sz w:val="28"/>
          <w:szCs w:val="28"/>
        </w:rPr>
        <w:t xml:space="preserve"> May 2018</w:t>
      </w:r>
    </w:p>
    <w:p w14:paraId="7D61264C" w14:textId="77777777" w:rsidR="0069357A" w:rsidRPr="00BB2B20" w:rsidRDefault="0069357A" w:rsidP="0069357A">
      <w:pPr>
        <w:autoSpaceDE w:val="0"/>
        <w:autoSpaceDN w:val="0"/>
        <w:adjustRightInd w:val="0"/>
        <w:spacing w:line="360" w:lineRule="auto"/>
        <w:rPr>
          <w:rFonts w:cs="Arial"/>
          <w:bCs/>
          <w:color w:val="808080" w:themeColor="background1" w:themeShade="80"/>
          <w:sz w:val="24"/>
          <w:szCs w:val="24"/>
        </w:rPr>
      </w:pPr>
      <w:r w:rsidRPr="00BB2B20">
        <w:rPr>
          <w:rFonts w:cs="Arial"/>
          <w:bCs/>
          <w:color w:val="808080" w:themeColor="background1" w:themeShade="80"/>
          <w:sz w:val="24"/>
          <w:szCs w:val="24"/>
        </w:rPr>
        <w:t>For immediate release</w:t>
      </w:r>
    </w:p>
    <w:p w14:paraId="13071D5C" w14:textId="77777777" w:rsidR="0069357A" w:rsidRPr="00117D56" w:rsidRDefault="0069357A" w:rsidP="0069357A">
      <w:pPr>
        <w:rPr>
          <w:rFonts w:ascii="Times New Roman" w:hAnsi="Times New Roman"/>
          <w:sz w:val="24"/>
          <w:szCs w:val="24"/>
        </w:rPr>
      </w:pPr>
    </w:p>
    <w:p w14:paraId="12FE0DB1" w14:textId="77777777" w:rsidR="0069357A" w:rsidRDefault="0069357A" w:rsidP="0069357A">
      <w:pPr>
        <w:autoSpaceDE w:val="0"/>
        <w:autoSpaceDN w:val="0"/>
        <w:adjustRightInd w:val="0"/>
        <w:rPr>
          <w:rFonts w:cs="Arial"/>
          <w:bCs/>
          <w:color w:val="000000"/>
          <w:sz w:val="22"/>
          <w:szCs w:val="22"/>
        </w:rPr>
      </w:pPr>
    </w:p>
    <w:p w14:paraId="37600CC7" w14:textId="77777777" w:rsidR="0069357A" w:rsidRDefault="0069357A" w:rsidP="0069357A">
      <w:pPr>
        <w:autoSpaceDE w:val="0"/>
        <w:autoSpaceDN w:val="0"/>
        <w:adjustRightInd w:val="0"/>
        <w:rPr>
          <w:rFonts w:cs="Arial"/>
          <w:bCs/>
          <w:color w:val="000000"/>
          <w:sz w:val="22"/>
          <w:szCs w:val="22"/>
        </w:rPr>
      </w:pPr>
    </w:p>
    <w:p w14:paraId="7AD70116" w14:textId="77777777" w:rsidR="0069357A" w:rsidRPr="00BD6746" w:rsidRDefault="0069357A" w:rsidP="0069357A">
      <w:pPr>
        <w:autoSpaceDE w:val="0"/>
        <w:autoSpaceDN w:val="0"/>
        <w:adjustRightInd w:val="0"/>
        <w:spacing w:line="360" w:lineRule="auto"/>
        <w:ind w:right="1262"/>
        <w:rPr>
          <w:rFonts w:cs="Arial"/>
          <w:b/>
          <w:bCs/>
          <w:color w:val="000000"/>
          <w:sz w:val="28"/>
          <w:szCs w:val="28"/>
        </w:rPr>
      </w:pPr>
      <w:r w:rsidRPr="00BD6746">
        <w:rPr>
          <w:rFonts w:cs="Arial"/>
          <w:b/>
          <w:bCs/>
          <w:color w:val="000000"/>
          <w:sz w:val="28"/>
          <w:szCs w:val="28"/>
        </w:rPr>
        <w:t xml:space="preserve">[name] Trust </w:t>
      </w:r>
      <w:r>
        <w:rPr>
          <w:rFonts w:cs="Arial"/>
          <w:b/>
          <w:bCs/>
          <w:color w:val="000000"/>
          <w:sz w:val="28"/>
          <w:szCs w:val="28"/>
        </w:rPr>
        <w:t>wins prestigious</w:t>
      </w:r>
      <w:r w:rsidRPr="00BD6746">
        <w:rPr>
          <w:rFonts w:cs="Arial"/>
          <w:b/>
          <w:bCs/>
          <w:color w:val="000000"/>
          <w:sz w:val="28"/>
          <w:szCs w:val="28"/>
        </w:rPr>
        <w:t xml:space="preserve"> CHKS Top Hospitals </w:t>
      </w:r>
      <w:r>
        <w:rPr>
          <w:rFonts w:cs="Arial"/>
          <w:b/>
          <w:bCs/>
          <w:color w:val="000000"/>
          <w:sz w:val="28"/>
          <w:szCs w:val="28"/>
        </w:rPr>
        <w:t xml:space="preserve">award </w:t>
      </w:r>
    </w:p>
    <w:p w14:paraId="25519E2F" w14:textId="77777777" w:rsidR="0069357A" w:rsidRPr="000C2361" w:rsidRDefault="0069357A" w:rsidP="0069357A">
      <w:pPr>
        <w:autoSpaceDE w:val="0"/>
        <w:autoSpaceDN w:val="0"/>
        <w:adjustRightInd w:val="0"/>
        <w:spacing w:line="360" w:lineRule="auto"/>
        <w:rPr>
          <w:rFonts w:cs="Arial"/>
          <w:b/>
          <w:bCs/>
          <w:color w:val="000000"/>
          <w:sz w:val="24"/>
          <w:szCs w:val="24"/>
        </w:rPr>
      </w:pPr>
    </w:p>
    <w:p w14:paraId="472E27D9" w14:textId="77777777" w:rsidR="0069357A" w:rsidRDefault="0069357A" w:rsidP="0069357A">
      <w:pPr>
        <w:autoSpaceDE w:val="0"/>
        <w:autoSpaceDN w:val="0"/>
        <w:adjustRightInd w:val="0"/>
        <w:spacing w:line="360" w:lineRule="auto"/>
        <w:rPr>
          <w:rFonts w:cs="Arial"/>
          <w:bCs/>
          <w:color w:val="000000"/>
          <w:sz w:val="24"/>
          <w:szCs w:val="24"/>
        </w:rPr>
      </w:pPr>
      <w:r w:rsidRPr="000C2361">
        <w:rPr>
          <w:rFonts w:cs="Arial"/>
          <w:bCs/>
          <w:color w:val="000000"/>
          <w:sz w:val="24"/>
          <w:szCs w:val="24"/>
        </w:rPr>
        <w:t>[</w:t>
      </w:r>
      <w:r>
        <w:rPr>
          <w:rFonts w:cs="Arial"/>
          <w:bCs/>
          <w:color w:val="000000"/>
          <w:sz w:val="24"/>
          <w:szCs w:val="24"/>
        </w:rPr>
        <w:t xml:space="preserve">add </w:t>
      </w:r>
      <w:r w:rsidRPr="000C2361">
        <w:rPr>
          <w:rFonts w:cs="Arial"/>
          <w:bCs/>
          <w:color w:val="000000"/>
          <w:sz w:val="24"/>
          <w:szCs w:val="24"/>
        </w:rPr>
        <w:t xml:space="preserve">name] Trust is one </w:t>
      </w:r>
      <w:r>
        <w:rPr>
          <w:rFonts w:cs="Arial"/>
          <w:bCs/>
          <w:color w:val="000000"/>
          <w:sz w:val="24"/>
          <w:szCs w:val="24"/>
        </w:rPr>
        <w:t xml:space="preserve">of the CHKS </w:t>
      </w:r>
      <w:r w:rsidRPr="000C2361">
        <w:rPr>
          <w:rFonts w:cs="Arial"/>
          <w:bCs/>
          <w:color w:val="000000"/>
          <w:sz w:val="24"/>
          <w:szCs w:val="24"/>
        </w:rPr>
        <w:t xml:space="preserve">Top Hospitals for </w:t>
      </w:r>
      <w:r>
        <w:rPr>
          <w:rFonts w:cs="Arial"/>
          <w:bCs/>
          <w:color w:val="000000"/>
          <w:sz w:val="24"/>
          <w:szCs w:val="24"/>
        </w:rPr>
        <w:t>2018</w:t>
      </w:r>
      <w:r w:rsidRPr="000C2361">
        <w:rPr>
          <w:rFonts w:cs="Arial"/>
          <w:bCs/>
          <w:color w:val="000000"/>
          <w:sz w:val="24"/>
          <w:szCs w:val="24"/>
        </w:rPr>
        <w:t>, a</w:t>
      </w:r>
      <w:r>
        <w:rPr>
          <w:rFonts w:cs="Arial"/>
          <w:bCs/>
          <w:color w:val="000000"/>
          <w:sz w:val="24"/>
          <w:szCs w:val="24"/>
        </w:rPr>
        <w:t xml:space="preserve"> prestigious award made </w:t>
      </w:r>
      <w:proofErr w:type="gramStart"/>
      <w:r>
        <w:rPr>
          <w:rFonts w:cs="Arial"/>
          <w:bCs/>
          <w:color w:val="000000"/>
          <w:sz w:val="24"/>
          <w:szCs w:val="24"/>
        </w:rPr>
        <w:t>on the basis of</w:t>
      </w:r>
      <w:proofErr w:type="gramEnd"/>
      <w:r>
        <w:rPr>
          <w:rFonts w:cs="Arial"/>
          <w:bCs/>
          <w:color w:val="000000"/>
          <w:sz w:val="24"/>
          <w:szCs w:val="24"/>
        </w:rPr>
        <w:t xml:space="preserve"> an analysis of data</w:t>
      </w:r>
      <w:r w:rsidRPr="00A54AAE">
        <w:rPr>
          <w:rFonts w:cs="Arial"/>
          <w:bCs/>
          <w:color w:val="000000"/>
          <w:sz w:val="24"/>
          <w:szCs w:val="24"/>
        </w:rPr>
        <w:t xml:space="preserve"> </w:t>
      </w:r>
      <w:r>
        <w:rPr>
          <w:rFonts w:cs="Arial"/>
          <w:bCs/>
          <w:color w:val="000000"/>
          <w:sz w:val="24"/>
          <w:szCs w:val="24"/>
        </w:rPr>
        <w:t>from</w:t>
      </w:r>
      <w:r w:rsidRPr="00A54AAE">
        <w:rPr>
          <w:rFonts w:cs="Arial"/>
          <w:bCs/>
          <w:color w:val="000000"/>
          <w:sz w:val="24"/>
          <w:szCs w:val="24"/>
        </w:rPr>
        <w:t xml:space="preserve"> all hospital trusts in England, Wales and Northern Ireland.</w:t>
      </w:r>
      <w:r>
        <w:rPr>
          <w:rFonts w:cs="Arial"/>
          <w:bCs/>
          <w:color w:val="000000"/>
          <w:sz w:val="24"/>
          <w:szCs w:val="24"/>
        </w:rPr>
        <w:t xml:space="preserve"> Over 20 indicators of performance were analysed by healthcare improvement specialists CHKS.</w:t>
      </w:r>
    </w:p>
    <w:p w14:paraId="50BB8134" w14:textId="77777777" w:rsidR="0069357A" w:rsidRDefault="0069357A" w:rsidP="0069357A">
      <w:pPr>
        <w:autoSpaceDE w:val="0"/>
        <w:autoSpaceDN w:val="0"/>
        <w:adjustRightInd w:val="0"/>
        <w:spacing w:line="360" w:lineRule="auto"/>
        <w:rPr>
          <w:rFonts w:cs="Arial"/>
          <w:bCs/>
          <w:color w:val="000000"/>
          <w:sz w:val="24"/>
          <w:szCs w:val="24"/>
        </w:rPr>
      </w:pPr>
    </w:p>
    <w:p w14:paraId="44588BC5" w14:textId="77777777" w:rsidR="0069357A" w:rsidRPr="000F7943" w:rsidRDefault="0069357A" w:rsidP="0069357A">
      <w:pPr>
        <w:spacing w:line="360" w:lineRule="auto"/>
        <w:rPr>
          <w:rFonts w:cs="Arial"/>
          <w:bCs/>
          <w:color w:val="000000"/>
          <w:sz w:val="24"/>
          <w:szCs w:val="24"/>
        </w:rPr>
      </w:pPr>
      <w:r w:rsidRPr="000F7943">
        <w:rPr>
          <w:rFonts w:cs="Arial"/>
          <w:bCs/>
          <w:color w:val="000000"/>
          <w:sz w:val="24"/>
          <w:szCs w:val="24"/>
        </w:rPr>
        <w:t>The Top Hospitals awards are data driven and this year, for the first time, the award consider</w:t>
      </w:r>
      <w:r>
        <w:rPr>
          <w:rFonts w:cs="Arial"/>
          <w:bCs/>
          <w:color w:val="000000"/>
          <w:sz w:val="24"/>
          <w:szCs w:val="24"/>
        </w:rPr>
        <w:t xml:space="preserve">s all trusts </w:t>
      </w:r>
      <w:r w:rsidRPr="000F7943">
        <w:rPr>
          <w:rFonts w:cs="Arial"/>
          <w:bCs/>
          <w:color w:val="000000"/>
          <w:sz w:val="24"/>
          <w:szCs w:val="24"/>
        </w:rPr>
        <w:t xml:space="preserve">in England, Wales and Northern Ireland. This means </w:t>
      </w:r>
      <w:r>
        <w:rPr>
          <w:rFonts w:cs="Arial"/>
          <w:bCs/>
          <w:color w:val="000000"/>
          <w:sz w:val="24"/>
          <w:szCs w:val="24"/>
        </w:rPr>
        <w:t xml:space="preserve">trusts </w:t>
      </w:r>
      <w:r w:rsidRPr="000F7943">
        <w:rPr>
          <w:rFonts w:cs="Arial"/>
          <w:bCs/>
          <w:color w:val="000000"/>
          <w:sz w:val="24"/>
          <w:szCs w:val="24"/>
        </w:rPr>
        <w:t>do</w:t>
      </w:r>
      <w:r>
        <w:rPr>
          <w:rFonts w:cs="Arial"/>
          <w:bCs/>
          <w:color w:val="000000"/>
          <w:sz w:val="24"/>
          <w:szCs w:val="24"/>
        </w:rPr>
        <w:t xml:space="preserve"> </w:t>
      </w:r>
      <w:r w:rsidRPr="000F7943">
        <w:rPr>
          <w:rFonts w:cs="Arial"/>
          <w:bCs/>
          <w:color w:val="000000"/>
          <w:sz w:val="24"/>
          <w:szCs w:val="24"/>
        </w:rPr>
        <w:t>n</w:t>
      </w:r>
      <w:r>
        <w:rPr>
          <w:rFonts w:cs="Arial"/>
          <w:bCs/>
          <w:color w:val="000000"/>
          <w:sz w:val="24"/>
          <w:szCs w:val="24"/>
        </w:rPr>
        <w:t>o</w:t>
      </w:r>
      <w:r w:rsidRPr="000F7943">
        <w:rPr>
          <w:rFonts w:cs="Arial"/>
          <w:bCs/>
          <w:color w:val="000000"/>
          <w:sz w:val="24"/>
          <w:szCs w:val="24"/>
        </w:rPr>
        <w:t xml:space="preserve">t have to be a CHKS client to be eligible for a Top Hospitals award. The award is made on the basis of an analysis of over 20 indicators: </w:t>
      </w:r>
      <w:hyperlink r:id="rId8" w:history="1">
        <w:r w:rsidRPr="000F7943">
          <w:rPr>
            <w:rFonts w:cs="Arial"/>
            <w:bCs/>
            <w:color w:val="000000"/>
            <w:sz w:val="24"/>
            <w:szCs w:val="24"/>
          </w:rPr>
          <w:t>http://www.chks.co.uk/userfiles/files/TH18/Indicators_2018.pdf</w:t>
        </w:r>
      </w:hyperlink>
      <w:r>
        <w:rPr>
          <w:rFonts w:cs="Arial"/>
          <w:bCs/>
          <w:color w:val="000000"/>
          <w:sz w:val="24"/>
          <w:szCs w:val="24"/>
        </w:rPr>
        <w:t xml:space="preserve"> </w:t>
      </w:r>
    </w:p>
    <w:p w14:paraId="13F6E347" w14:textId="77777777" w:rsidR="0069357A" w:rsidRDefault="0069357A" w:rsidP="0069357A">
      <w:pPr>
        <w:autoSpaceDE w:val="0"/>
        <w:autoSpaceDN w:val="0"/>
        <w:adjustRightInd w:val="0"/>
        <w:spacing w:line="360" w:lineRule="auto"/>
        <w:ind w:right="1262"/>
        <w:rPr>
          <w:rFonts w:cs="Arial"/>
          <w:bCs/>
          <w:color w:val="000000"/>
          <w:sz w:val="24"/>
          <w:szCs w:val="24"/>
        </w:rPr>
      </w:pPr>
    </w:p>
    <w:p w14:paraId="0179E50D" w14:textId="77777777" w:rsidR="0069357A" w:rsidRPr="000C2361" w:rsidRDefault="0069357A" w:rsidP="0069357A">
      <w:pPr>
        <w:autoSpaceDE w:val="0"/>
        <w:autoSpaceDN w:val="0"/>
        <w:adjustRightInd w:val="0"/>
        <w:spacing w:line="360" w:lineRule="auto"/>
        <w:rPr>
          <w:rFonts w:cs="Arial"/>
          <w:bCs/>
          <w:color w:val="000000"/>
          <w:sz w:val="24"/>
          <w:szCs w:val="24"/>
        </w:rPr>
      </w:pPr>
      <w:r w:rsidRPr="000F7943">
        <w:rPr>
          <w:rFonts w:cs="Arial"/>
          <w:bCs/>
          <w:color w:val="000000"/>
          <w:sz w:val="24"/>
          <w:szCs w:val="24"/>
        </w:rPr>
        <w:t xml:space="preserve">The data comes from the information that is regularly submitted by hospitals to NHS Digital to help track performance in </w:t>
      </w:r>
      <w:proofErr w:type="gramStart"/>
      <w:r w:rsidRPr="000F7943">
        <w:rPr>
          <w:rFonts w:cs="Arial"/>
          <w:bCs/>
          <w:color w:val="000000"/>
          <w:sz w:val="24"/>
          <w:szCs w:val="24"/>
        </w:rPr>
        <w:t>a number of</w:t>
      </w:r>
      <w:proofErr w:type="gramEnd"/>
      <w:r w:rsidRPr="000F7943">
        <w:rPr>
          <w:rFonts w:cs="Arial"/>
          <w:bCs/>
          <w:color w:val="000000"/>
          <w:sz w:val="24"/>
          <w:szCs w:val="24"/>
        </w:rPr>
        <w:t xml:space="preserve"> areas, including quality of care and patient safety.</w:t>
      </w:r>
      <w:r w:rsidRPr="000F7943">
        <w:rPr>
          <w:sz w:val="24"/>
          <w:szCs w:val="24"/>
        </w:rPr>
        <w:t xml:space="preserve"> </w:t>
      </w:r>
      <w:r>
        <w:rPr>
          <w:sz w:val="24"/>
          <w:szCs w:val="24"/>
        </w:rPr>
        <w:t xml:space="preserve">The performance </w:t>
      </w:r>
      <w:r w:rsidRPr="000C2361">
        <w:rPr>
          <w:sz w:val="24"/>
          <w:szCs w:val="24"/>
        </w:rPr>
        <w:t>indicators cover</w:t>
      </w:r>
      <w:r>
        <w:rPr>
          <w:sz w:val="24"/>
          <w:szCs w:val="24"/>
        </w:rPr>
        <w:t>:</w:t>
      </w:r>
      <w:r w:rsidRPr="000C2361">
        <w:rPr>
          <w:sz w:val="24"/>
          <w:szCs w:val="24"/>
        </w:rPr>
        <w:t xml:space="preserve"> safety, clinical effectiveness, health outcomes, efficiency, patient experience and quality of care.</w:t>
      </w:r>
      <w:r w:rsidRPr="0039248B">
        <w:t xml:space="preserve"> </w:t>
      </w:r>
      <w:r>
        <w:rPr>
          <w:sz w:val="24"/>
          <w:szCs w:val="24"/>
        </w:rPr>
        <w:t>The indicators are r</w:t>
      </w:r>
      <w:r w:rsidRPr="0039248B">
        <w:rPr>
          <w:sz w:val="24"/>
          <w:szCs w:val="24"/>
        </w:rPr>
        <w:t>evised a</w:t>
      </w:r>
      <w:r>
        <w:rPr>
          <w:sz w:val="24"/>
          <w:szCs w:val="24"/>
        </w:rPr>
        <w:t xml:space="preserve">nnually to </w:t>
      </w:r>
      <w:proofErr w:type="gramStart"/>
      <w:r>
        <w:rPr>
          <w:sz w:val="24"/>
          <w:szCs w:val="24"/>
        </w:rPr>
        <w:t>take into account</w:t>
      </w:r>
      <w:proofErr w:type="gramEnd"/>
      <w:r>
        <w:rPr>
          <w:sz w:val="24"/>
          <w:szCs w:val="24"/>
        </w:rPr>
        <w:t xml:space="preserve"> any </w:t>
      </w:r>
      <w:r w:rsidRPr="0039248B">
        <w:rPr>
          <w:sz w:val="24"/>
          <w:szCs w:val="24"/>
        </w:rPr>
        <w:t>newly-available performance information</w:t>
      </w:r>
      <w:r>
        <w:rPr>
          <w:sz w:val="24"/>
          <w:szCs w:val="24"/>
        </w:rPr>
        <w:t>.</w:t>
      </w:r>
    </w:p>
    <w:p w14:paraId="3C54D76C" w14:textId="77777777" w:rsidR="0069357A" w:rsidRDefault="0069357A" w:rsidP="0069357A">
      <w:pPr>
        <w:autoSpaceDE w:val="0"/>
        <w:autoSpaceDN w:val="0"/>
        <w:adjustRightInd w:val="0"/>
        <w:spacing w:line="360" w:lineRule="auto"/>
        <w:rPr>
          <w:rFonts w:cs="Arial"/>
          <w:bCs/>
          <w:color w:val="000000"/>
          <w:sz w:val="24"/>
          <w:szCs w:val="24"/>
        </w:rPr>
      </w:pPr>
    </w:p>
    <w:p w14:paraId="1DD930D1" w14:textId="77777777" w:rsidR="0069357A" w:rsidRPr="000C2361" w:rsidRDefault="0069357A" w:rsidP="0069357A">
      <w:pPr>
        <w:autoSpaceDE w:val="0"/>
        <w:autoSpaceDN w:val="0"/>
        <w:adjustRightInd w:val="0"/>
        <w:spacing w:line="360" w:lineRule="auto"/>
        <w:rPr>
          <w:rFonts w:cs="Arial"/>
          <w:bCs/>
          <w:color w:val="000000"/>
          <w:sz w:val="24"/>
          <w:szCs w:val="24"/>
        </w:rPr>
      </w:pPr>
      <w:r>
        <w:rPr>
          <w:rFonts w:cs="Arial"/>
          <w:bCs/>
          <w:color w:val="000000"/>
          <w:sz w:val="24"/>
          <w:szCs w:val="24"/>
        </w:rPr>
        <w:t xml:space="preserve">The </w:t>
      </w:r>
      <w:r w:rsidRPr="000C2361">
        <w:rPr>
          <w:rFonts w:cs="Arial"/>
          <w:bCs/>
          <w:color w:val="000000"/>
          <w:sz w:val="24"/>
          <w:szCs w:val="24"/>
        </w:rPr>
        <w:t xml:space="preserve">Top Hospitals award is one of several awards </w:t>
      </w:r>
      <w:r>
        <w:rPr>
          <w:rFonts w:cs="Arial"/>
          <w:bCs/>
          <w:color w:val="000000"/>
          <w:sz w:val="24"/>
          <w:szCs w:val="24"/>
        </w:rPr>
        <w:t xml:space="preserve">for all acute trusts </w:t>
      </w:r>
      <w:r w:rsidRPr="000C2361">
        <w:rPr>
          <w:rFonts w:cs="Arial"/>
          <w:bCs/>
          <w:color w:val="000000"/>
          <w:sz w:val="24"/>
          <w:szCs w:val="24"/>
        </w:rPr>
        <w:t>that are part of the CHKS</w:t>
      </w:r>
      <w:r w:rsidRPr="000C2361">
        <w:rPr>
          <w:sz w:val="24"/>
          <w:szCs w:val="24"/>
        </w:rPr>
        <w:t xml:space="preserve"> </w:t>
      </w:r>
      <w:r w:rsidRPr="000C2361">
        <w:rPr>
          <w:rFonts w:cs="Arial"/>
          <w:bCs/>
          <w:color w:val="000000"/>
          <w:sz w:val="24"/>
          <w:szCs w:val="24"/>
        </w:rPr>
        <w:t>Top Hospitals programme</w:t>
      </w:r>
      <w:r>
        <w:rPr>
          <w:rFonts w:cs="Arial"/>
          <w:bCs/>
          <w:color w:val="000000"/>
          <w:sz w:val="24"/>
          <w:szCs w:val="24"/>
        </w:rPr>
        <w:t xml:space="preserve"> which includes </w:t>
      </w:r>
      <w:r w:rsidRPr="000C2361">
        <w:rPr>
          <w:sz w:val="24"/>
          <w:szCs w:val="24"/>
        </w:rPr>
        <w:t>national awards for patient safety, quality of care and data quality</w:t>
      </w:r>
      <w:r>
        <w:rPr>
          <w:sz w:val="24"/>
          <w:szCs w:val="24"/>
        </w:rPr>
        <w:t xml:space="preserve">. </w:t>
      </w:r>
    </w:p>
    <w:p w14:paraId="3032740E" w14:textId="77777777" w:rsidR="0069357A" w:rsidRPr="000C2361" w:rsidRDefault="0069357A" w:rsidP="0069357A">
      <w:pPr>
        <w:autoSpaceDE w:val="0"/>
        <w:autoSpaceDN w:val="0"/>
        <w:adjustRightInd w:val="0"/>
        <w:spacing w:line="360" w:lineRule="auto"/>
        <w:rPr>
          <w:sz w:val="24"/>
          <w:szCs w:val="24"/>
        </w:rPr>
      </w:pPr>
    </w:p>
    <w:p w14:paraId="1A9B046C" w14:textId="77777777" w:rsidR="0069357A" w:rsidRPr="000C2361" w:rsidRDefault="0069357A" w:rsidP="0069357A">
      <w:pPr>
        <w:autoSpaceDE w:val="0"/>
        <w:autoSpaceDN w:val="0"/>
        <w:adjustRightInd w:val="0"/>
        <w:spacing w:line="360" w:lineRule="auto"/>
        <w:rPr>
          <w:sz w:val="24"/>
          <w:szCs w:val="24"/>
        </w:rPr>
      </w:pPr>
      <w:r w:rsidRPr="00492934">
        <w:rPr>
          <w:sz w:val="24"/>
          <w:szCs w:val="24"/>
          <w:highlight w:val="yellow"/>
        </w:rPr>
        <w:t>[Add trust quote]</w:t>
      </w:r>
    </w:p>
    <w:p w14:paraId="480553B6" w14:textId="77777777" w:rsidR="0069357A" w:rsidRPr="000C2361" w:rsidRDefault="0069357A" w:rsidP="0069357A">
      <w:pPr>
        <w:autoSpaceDE w:val="0"/>
        <w:autoSpaceDN w:val="0"/>
        <w:adjustRightInd w:val="0"/>
        <w:spacing w:line="360" w:lineRule="auto"/>
        <w:rPr>
          <w:sz w:val="24"/>
          <w:szCs w:val="24"/>
        </w:rPr>
      </w:pPr>
    </w:p>
    <w:p w14:paraId="45ACAA42" w14:textId="77777777" w:rsidR="009D41E1" w:rsidRDefault="009D41E1" w:rsidP="009D41E1">
      <w:pPr>
        <w:spacing w:line="360" w:lineRule="auto"/>
        <w:rPr>
          <w:rFonts w:cs="Arial"/>
          <w:sz w:val="24"/>
          <w:szCs w:val="24"/>
          <w:lang w:eastAsia="en-GB"/>
        </w:rPr>
      </w:pPr>
      <w:bookmarkStart w:id="0" w:name="_Hlk481513218"/>
      <w:r>
        <w:rPr>
          <w:rFonts w:cs="Arial"/>
          <w:sz w:val="24"/>
          <w:szCs w:val="24"/>
          <w:lang w:eastAsia="en-GB"/>
        </w:rPr>
        <w:t>Niall Dickson, chief executive of the NHS Confederation, which represents organisations across the healthcare system, said: “The NHS across the UK is doing great things. Too often we dwell on the challenges – and there are plenty – but the CHKS Top Hospitals awards recognise and celebrate the great strides that are being made to improve the quality and safety of care patients receive.</w:t>
      </w:r>
    </w:p>
    <w:p w14:paraId="0C0C8EA8" w14:textId="77777777" w:rsidR="009D41E1" w:rsidRDefault="009D41E1" w:rsidP="009D41E1">
      <w:pPr>
        <w:spacing w:line="360" w:lineRule="auto"/>
        <w:rPr>
          <w:rFonts w:cs="Arial"/>
          <w:sz w:val="24"/>
          <w:szCs w:val="24"/>
          <w:lang w:eastAsia="en-GB"/>
        </w:rPr>
      </w:pPr>
    </w:p>
    <w:p w14:paraId="58C96CFD" w14:textId="77777777" w:rsidR="009D41E1" w:rsidRDefault="009D41E1" w:rsidP="009D41E1">
      <w:pPr>
        <w:spacing w:line="360" w:lineRule="auto"/>
        <w:rPr>
          <w:rFonts w:cs="Arial"/>
          <w:sz w:val="24"/>
          <w:szCs w:val="24"/>
          <w:lang w:eastAsia="en-GB"/>
        </w:rPr>
      </w:pPr>
      <w:r>
        <w:rPr>
          <w:rFonts w:cs="Arial"/>
          <w:sz w:val="24"/>
          <w:szCs w:val="24"/>
          <w:lang w:eastAsia="en-GB"/>
        </w:rPr>
        <w:t>“These awards have become hugely respected not least because they are based on objective data. They offer a great way for hospitals to benchmark their activity and share ideas and best practice.”</w:t>
      </w:r>
    </w:p>
    <w:p w14:paraId="08900AD5" w14:textId="77777777" w:rsidR="009D41E1" w:rsidRDefault="009D41E1" w:rsidP="0069357A">
      <w:pPr>
        <w:autoSpaceDE w:val="0"/>
        <w:autoSpaceDN w:val="0"/>
        <w:adjustRightInd w:val="0"/>
        <w:spacing w:line="360" w:lineRule="auto"/>
        <w:rPr>
          <w:sz w:val="24"/>
          <w:szCs w:val="24"/>
        </w:rPr>
      </w:pPr>
    </w:p>
    <w:p w14:paraId="0F695AF7" w14:textId="42671B53" w:rsidR="0069357A" w:rsidRDefault="006B3ADF" w:rsidP="0069357A">
      <w:pPr>
        <w:autoSpaceDE w:val="0"/>
        <w:autoSpaceDN w:val="0"/>
        <w:adjustRightInd w:val="0"/>
        <w:spacing w:line="360" w:lineRule="auto"/>
        <w:rPr>
          <w:sz w:val="24"/>
          <w:szCs w:val="24"/>
        </w:rPr>
      </w:pPr>
      <w:bookmarkStart w:id="1" w:name="_GoBack"/>
      <w:bookmarkEnd w:id="1"/>
      <w:r>
        <w:rPr>
          <w:sz w:val="24"/>
          <w:szCs w:val="24"/>
        </w:rPr>
        <w:t>Kevin McDonnell, Business Director,</w:t>
      </w:r>
      <w:r w:rsidR="0069357A">
        <w:rPr>
          <w:sz w:val="24"/>
          <w:szCs w:val="24"/>
        </w:rPr>
        <w:t xml:space="preserve"> </w:t>
      </w:r>
      <w:r w:rsidR="0069357A" w:rsidRPr="000C2361">
        <w:rPr>
          <w:sz w:val="24"/>
          <w:szCs w:val="24"/>
        </w:rPr>
        <w:t>C</w:t>
      </w:r>
      <w:r w:rsidR="0069357A">
        <w:rPr>
          <w:sz w:val="24"/>
          <w:szCs w:val="24"/>
        </w:rPr>
        <w:t xml:space="preserve">apita </w:t>
      </w:r>
      <w:r w:rsidR="0069357A" w:rsidRPr="000C2361">
        <w:rPr>
          <w:sz w:val="24"/>
          <w:szCs w:val="24"/>
        </w:rPr>
        <w:t>H</w:t>
      </w:r>
      <w:r w:rsidR="0069357A">
        <w:rPr>
          <w:sz w:val="24"/>
          <w:szCs w:val="24"/>
        </w:rPr>
        <w:t>ealthcare Decisions,</w:t>
      </w:r>
      <w:r w:rsidR="0069357A" w:rsidRPr="000C2361">
        <w:rPr>
          <w:sz w:val="24"/>
          <w:szCs w:val="24"/>
        </w:rPr>
        <w:t xml:space="preserve"> said: “</w:t>
      </w:r>
      <w:r w:rsidR="0069357A">
        <w:rPr>
          <w:sz w:val="24"/>
          <w:szCs w:val="24"/>
        </w:rPr>
        <w:t>For the first time we have analysed data from every trust, whether they are a client of CHKS or not, for the Top Hospitals award. T</w:t>
      </w:r>
      <w:r w:rsidR="0069357A" w:rsidRPr="000C2361">
        <w:rPr>
          <w:sz w:val="24"/>
          <w:szCs w:val="24"/>
        </w:rPr>
        <w:t xml:space="preserve">he award </w:t>
      </w:r>
      <w:r w:rsidR="0069357A">
        <w:rPr>
          <w:sz w:val="24"/>
          <w:szCs w:val="24"/>
        </w:rPr>
        <w:t xml:space="preserve">recognises outstanding performance in </w:t>
      </w:r>
      <w:r w:rsidR="0069357A" w:rsidRPr="000C2361">
        <w:rPr>
          <w:sz w:val="24"/>
          <w:szCs w:val="24"/>
        </w:rPr>
        <w:t xml:space="preserve">those areas which we believe are critical to delivering good patient care. We are delighted that [name] is one of our Top Hospitals </w:t>
      </w:r>
      <w:r w:rsidR="0069357A">
        <w:rPr>
          <w:sz w:val="24"/>
          <w:szCs w:val="24"/>
        </w:rPr>
        <w:t>2018</w:t>
      </w:r>
      <w:r w:rsidR="0069357A" w:rsidRPr="000C2361">
        <w:rPr>
          <w:sz w:val="24"/>
          <w:szCs w:val="24"/>
        </w:rPr>
        <w:t>.</w:t>
      </w:r>
      <w:r w:rsidR="0069357A">
        <w:rPr>
          <w:sz w:val="24"/>
          <w:szCs w:val="24"/>
        </w:rPr>
        <w:t>”</w:t>
      </w:r>
      <w:bookmarkEnd w:id="0"/>
    </w:p>
    <w:p w14:paraId="57D37425" w14:textId="77777777" w:rsidR="0069357A" w:rsidRDefault="0069357A" w:rsidP="0069357A">
      <w:pPr>
        <w:spacing w:line="360" w:lineRule="auto"/>
        <w:rPr>
          <w:rFonts w:cs="Arial"/>
          <w:color w:val="000000"/>
          <w:sz w:val="24"/>
          <w:szCs w:val="24"/>
          <w:lang w:eastAsia="en-GB"/>
        </w:rPr>
      </w:pPr>
      <w:bookmarkStart w:id="2" w:name="_Hlk481513210"/>
    </w:p>
    <w:p w14:paraId="661B950B" w14:textId="003EE675" w:rsidR="0069357A" w:rsidRDefault="0069357A" w:rsidP="0069357A">
      <w:pPr>
        <w:spacing w:line="360" w:lineRule="auto"/>
        <w:rPr>
          <w:rFonts w:cs="Arial"/>
          <w:color w:val="000000"/>
          <w:sz w:val="24"/>
          <w:szCs w:val="24"/>
          <w:lang w:eastAsia="en-GB"/>
        </w:rPr>
      </w:pPr>
      <w:r w:rsidRPr="003E2DFB">
        <w:rPr>
          <w:rFonts w:cs="Arial"/>
          <w:color w:val="000000"/>
          <w:sz w:val="24"/>
          <w:szCs w:val="24"/>
          <w:lang w:eastAsia="en-GB"/>
        </w:rPr>
        <w:t>The CHKS Top Hospitals programme awards were held in London on the 1</w:t>
      </w:r>
      <w:r>
        <w:rPr>
          <w:rFonts w:cs="Arial"/>
          <w:color w:val="000000"/>
          <w:sz w:val="24"/>
          <w:szCs w:val="24"/>
          <w:lang w:eastAsia="en-GB"/>
        </w:rPr>
        <w:t>5</w:t>
      </w:r>
      <w:r w:rsidRPr="003E2DFB">
        <w:rPr>
          <w:rFonts w:cs="Arial"/>
          <w:color w:val="000000"/>
          <w:sz w:val="24"/>
          <w:szCs w:val="24"/>
          <w:lang w:eastAsia="en-GB"/>
        </w:rPr>
        <w:t xml:space="preserve">th May and hosted by </w:t>
      </w:r>
      <w:r>
        <w:rPr>
          <w:rFonts w:cs="Arial"/>
          <w:color w:val="000000"/>
          <w:sz w:val="24"/>
          <w:szCs w:val="24"/>
          <w:lang w:eastAsia="en-GB"/>
        </w:rPr>
        <w:t xml:space="preserve">NHS Confederation chief executive, Niall Dickson with guest speaker Dr Ed Coates. Over </w:t>
      </w:r>
      <w:r w:rsidRPr="003E2DFB">
        <w:rPr>
          <w:rFonts w:cs="Arial"/>
          <w:color w:val="000000"/>
          <w:sz w:val="24"/>
          <w:szCs w:val="24"/>
          <w:lang w:eastAsia="en-GB"/>
        </w:rPr>
        <w:t>200 guests including leaders from across the healthcare sector</w:t>
      </w:r>
      <w:r>
        <w:rPr>
          <w:rFonts w:cs="Arial"/>
          <w:color w:val="000000"/>
          <w:sz w:val="24"/>
          <w:szCs w:val="24"/>
          <w:lang w:eastAsia="en-GB"/>
        </w:rPr>
        <w:t xml:space="preserve"> attended the event.</w:t>
      </w:r>
    </w:p>
    <w:bookmarkEnd w:id="2"/>
    <w:p w14:paraId="4B31AC86" w14:textId="77777777" w:rsidR="0069357A" w:rsidRPr="000C2361" w:rsidRDefault="0069357A" w:rsidP="0069357A">
      <w:pPr>
        <w:autoSpaceDE w:val="0"/>
        <w:autoSpaceDN w:val="0"/>
        <w:adjustRightInd w:val="0"/>
        <w:spacing w:line="360" w:lineRule="auto"/>
        <w:rPr>
          <w:rFonts w:cs="Arial"/>
          <w:b/>
          <w:bCs/>
          <w:color w:val="000000"/>
          <w:sz w:val="24"/>
          <w:szCs w:val="24"/>
        </w:rPr>
      </w:pPr>
    </w:p>
    <w:p w14:paraId="4BB46F3D" w14:textId="77777777" w:rsidR="0069357A" w:rsidRDefault="0069357A" w:rsidP="0069357A">
      <w:pPr>
        <w:autoSpaceDE w:val="0"/>
        <w:autoSpaceDN w:val="0"/>
        <w:adjustRightInd w:val="0"/>
        <w:rPr>
          <w:rFonts w:cs="Arial"/>
          <w:b/>
          <w:bCs/>
          <w:color w:val="000000"/>
          <w:sz w:val="22"/>
          <w:szCs w:val="22"/>
        </w:rPr>
      </w:pPr>
    </w:p>
    <w:p w14:paraId="641C59D7" w14:textId="77777777" w:rsidR="0069357A" w:rsidRDefault="0069357A" w:rsidP="0069357A">
      <w:pPr>
        <w:tabs>
          <w:tab w:val="left" w:pos="8460"/>
        </w:tabs>
        <w:autoSpaceDE w:val="0"/>
        <w:autoSpaceDN w:val="0"/>
        <w:adjustRightInd w:val="0"/>
        <w:spacing w:line="360" w:lineRule="auto"/>
        <w:ind w:right="408"/>
        <w:jc w:val="center"/>
        <w:rPr>
          <w:rFonts w:cs="Arial"/>
          <w:bCs/>
          <w:color w:val="000000"/>
          <w:sz w:val="22"/>
          <w:szCs w:val="22"/>
        </w:rPr>
      </w:pPr>
      <w:r>
        <w:rPr>
          <w:sz w:val="22"/>
          <w:szCs w:val="22"/>
        </w:rPr>
        <w:t>- ends -</w:t>
      </w:r>
    </w:p>
    <w:p w14:paraId="2EAF6F6A" w14:textId="77777777" w:rsidR="0069357A" w:rsidRDefault="0069357A" w:rsidP="0069357A">
      <w:pPr>
        <w:tabs>
          <w:tab w:val="left" w:pos="8460"/>
        </w:tabs>
        <w:autoSpaceDE w:val="0"/>
        <w:autoSpaceDN w:val="0"/>
        <w:adjustRightInd w:val="0"/>
        <w:ind w:right="408"/>
        <w:rPr>
          <w:rFonts w:cs="Arial"/>
          <w:b/>
          <w:bCs/>
          <w:color w:val="000000"/>
          <w:sz w:val="22"/>
          <w:szCs w:val="22"/>
        </w:rPr>
      </w:pPr>
    </w:p>
    <w:p w14:paraId="1B51F4FA" w14:textId="77777777" w:rsidR="0069357A" w:rsidRDefault="0069357A" w:rsidP="0069357A">
      <w:pPr>
        <w:tabs>
          <w:tab w:val="left" w:pos="8460"/>
        </w:tabs>
        <w:autoSpaceDE w:val="0"/>
        <w:autoSpaceDN w:val="0"/>
        <w:adjustRightInd w:val="0"/>
        <w:ind w:right="408"/>
        <w:rPr>
          <w:rFonts w:cs="Arial"/>
          <w:b/>
          <w:bCs/>
          <w:color w:val="000000"/>
          <w:sz w:val="22"/>
          <w:szCs w:val="22"/>
        </w:rPr>
      </w:pPr>
    </w:p>
    <w:p w14:paraId="6E2CB53D" w14:textId="77777777" w:rsidR="0069357A" w:rsidRDefault="0069357A" w:rsidP="0069357A">
      <w:pPr>
        <w:autoSpaceDE w:val="0"/>
        <w:autoSpaceDN w:val="0"/>
        <w:adjustRightInd w:val="0"/>
        <w:spacing w:line="360" w:lineRule="auto"/>
        <w:rPr>
          <w:sz w:val="22"/>
          <w:szCs w:val="22"/>
        </w:rPr>
      </w:pPr>
    </w:p>
    <w:p w14:paraId="4431C8F7" w14:textId="77777777" w:rsidR="0069357A" w:rsidRPr="002C59C0" w:rsidRDefault="0069357A" w:rsidP="0069357A">
      <w:pPr>
        <w:autoSpaceDE w:val="0"/>
        <w:autoSpaceDN w:val="0"/>
        <w:adjustRightInd w:val="0"/>
        <w:spacing w:line="360" w:lineRule="auto"/>
        <w:rPr>
          <w:rFonts w:cs="Arial"/>
          <w:bCs/>
          <w:color w:val="000000"/>
          <w:sz w:val="22"/>
          <w:szCs w:val="22"/>
        </w:rPr>
      </w:pPr>
      <w:r w:rsidRPr="00FD057B">
        <w:rPr>
          <w:rFonts w:cs="Arial"/>
          <w:b/>
          <w:bCs/>
          <w:color w:val="000000"/>
          <w:sz w:val="22"/>
          <w:szCs w:val="22"/>
        </w:rPr>
        <w:t>Notes to editors:</w:t>
      </w:r>
    </w:p>
    <w:p w14:paraId="44F78379" w14:textId="77777777" w:rsidR="0069357A" w:rsidRPr="006C1F62" w:rsidRDefault="0069357A" w:rsidP="0069357A">
      <w:pPr>
        <w:autoSpaceDE w:val="0"/>
        <w:autoSpaceDN w:val="0"/>
        <w:adjustRightInd w:val="0"/>
        <w:rPr>
          <w:rFonts w:cs="Calibri"/>
          <w:sz w:val="22"/>
          <w:szCs w:val="22"/>
          <w:lang w:eastAsia="en-GB"/>
        </w:rPr>
      </w:pPr>
      <w:r w:rsidRPr="006C1F62">
        <w:rPr>
          <w:sz w:val="22"/>
          <w:szCs w:val="22"/>
        </w:rPr>
        <w:t xml:space="preserve">1. </w:t>
      </w:r>
      <w:bookmarkStart w:id="3" w:name="_Hlk481513228"/>
      <w:r w:rsidRPr="006C1F62">
        <w:rPr>
          <w:rFonts w:cs="Arial"/>
          <w:sz w:val="22"/>
          <w:szCs w:val="22"/>
        </w:rPr>
        <w:t>CHKS</w:t>
      </w:r>
      <w:r w:rsidRPr="00B85303">
        <w:rPr>
          <w:rFonts w:cs="Arial"/>
          <w:sz w:val="24"/>
          <w:szCs w:val="24"/>
        </w:rPr>
        <w:t xml:space="preserve">, </w:t>
      </w:r>
      <w:r w:rsidRPr="006C1F62">
        <w:rPr>
          <w:rFonts w:cs="Arial"/>
          <w:sz w:val="22"/>
          <w:szCs w:val="22"/>
        </w:rPr>
        <w:t xml:space="preserve">part of Capita plc, is a provider of healthcare intelligence and quality improvement products and services. We enable providers and commissioners to make better decisions at patient, service, </w:t>
      </w:r>
      <w:proofErr w:type="spellStart"/>
      <w:r w:rsidRPr="006C1F62">
        <w:rPr>
          <w:rFonts w:cs="Arial"/>
          <w:sz w:val="22"/>
          <w:szCs w:val="22"/>
        </w:rPr>
        <w:t>organisation</w:t>
      </w:r>
      <w:proofErr w:type="spellEnd"/>
      <w:r w:rsidRPr="006C1F62">
        <w:rPr>
          <w:rFonts w:cs="Arial"/>
          <w:sz w:val="22"/>
          <w:szCs w:val="22"/>
        </w:rPr>
        <w:t xml:space="preserve"> and population level and deliver sustainable improvements in care quality, patient outcomes and service efficiency along the patient pathway. We know health. Over the last 27 years our team of NHS data experts, clinicians and quality managers have worked with more than 400 healthcare organisations to improve population health.</w:t>
      </w:r>
      <w:bookmarkEnd w:id="3"/>
    </w:p>
    <w:p w14:paraId="667B8754" w14:textId="77777777" w:rsidR="0069357A" w:rsidRDefault="0069357A" w:rsidP="0069357A">
      <w:pPr>
        <w:autoSpaceDE w:val="0"/>
        <w:autoSpaceDN w:val="0"/>
        <w:adjustRightInd w:val="0"/>
        <w:rPr>
          <w:rFonts w:cs="Arial"/>
          <w:sz w:val="22"/>
          <w:szCs w:val="22"/>
          <w:lang w:eastAsia="en-GB"/>
        </w:rPr>
      </w:pPr>
    </w:p>
    <w:p w14:paraId="2C03A192" w14:textId="77777777" w:rsidR="0069357A" w:rsidRDefault="0069357A" w:rsidP="0069357A">
      <w:pPr>
        <w:autoSpaceDE w:val="0"/>
        <w:autoSpaceDN w:val="0"/>
        <w:adjustRightInd w:val="0"/>
        <w:rPr>
          <w:sz w:val="22"/>
          <w:szCs w:val="22"/>
        </w:rPr>
      </w:pPr>
      <w:r w:rsidRPr="006C1F62">
        <w:rPr>
          <w:rFonts w:cs="Arial"/>
          <w:sz w:val="22"/>
          <w:szCs w:val="22"/>
          <w:lang w:eastAsia="en-GB"/>
        </w:rPr>
        <w:t xml:space="preserve">2. </w:t>
      </w:r>
      <w:r w:rsidRPr="006C1F62">
        <w:rPr>
          <w:sz w:val="22"/>
          <w:szCs w:val="22"/>
        </w:rPr>
        <w:t>The Top Hospital indicators for 201</w:t>
      </w:r>
      <w:r>
        <w:rPr>
          <w:sz w:val="22"/>
          <w:szCs w:val="22"/>
        </w:rPr>
        <w:t>8</w:t>
      </w:r>
      <w:r w:rsidRPr="006C1F62">
        <w:rPr>
          <w:sz w:val="22"/>
          <w:szCs w:val="22"/>
        </w:rPr>
        <w:t xml:space="preserve"> were:</w:t>
      </w:r>
    </w:p>
    <w:p w14:paraId="225A21C7" w14:textId="77777777" w:rsidR="0069357A" w:rsidRDefault="0069357A" w:rsidP="0069357A">
      <w:pPr>
        <w:autoSpaceDE w:val="0"/>
        <w:autoSpaceDN w:val="0"/>
        <w:adjustRightInd w:val="0"/>
        <w:rPr>
          <w:sz w:val="22"/>
          <w:szCs w:val="22"/>
        </w:rPr>
      </w:pPr>
    </w:p>
    <w:p w14:paraId="76CE8A8F"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4B4329">
        <w:rPr>
          <w:rFonts w:cs="Arial"/>
          <w:sz w:val="22"/>
          <w:szCs w:val="22"/>
          <w:lang w:eastAsia="en-GB"/>
        </w:rPr>
        <w:t xml:space="preserve">Reported C-difficile rate for patients aged </w:t>
      </w:r>
      <w:r>
        <w:rPr>
          <w:rFonts w:cs="Arial"/>
          <w:sz w:val="22"/>
          <w:szCs w:val="22"/>
          <w:lang w:eastAsia="en-GB"/>
        </w:rPr>
        <w:t>two years</w:t>
      </w:r>
      <w:r w:rsidRPr="004B4329">
        <w:rPr>
          <w:rFonts w:cs="Arial"/>
          <w:sz w:val="22"/>
          <w:szCs w:val="22"/>
          <w:lang w:eastAsia="en-GB"/>
        </w:rPr>
        <w:t xml:space="preserve"> and over</w:t>
      </w:r>
    </w:p>
    <w:p w14:paraId="6CA683C9"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4B4329">
        <w:rPr>
          <w:rFonts w:cs="Arial"/>
          <w:sz w:val="22"/>
          <w:szCs w:val="22"/>
          <w:lang w:eastAsia="en-GB"/>
        </w:rPr>
        <w:t>Day case rate (relative weighted performance across BADS directory)</w:t>
      </w:r>
    </w:p>
    <w:p w14:paraId="4B1AAF54"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4B4329">
        <w:rPr>
          <w:rFonts w:cs="Arial"/>
          <w:sz w:val="22"/>
          <w:szCs w:val="22"/>
          <w:lang w:eastAsia="en-GB"/>
        </w:rPr>
        <w:t>Day case conversion to inpatient rate (vs national rates, case mix adj</w:t>
      </w:r>
      <w:r>
        <w:rPr>
          <w:rFonts w:cs="Arial"/>
          <w:sz w:val="22"/>
          <w:szCs w:val="22"/>
          <w:lang w:eastAsia="en-GB"/>
        </w:rPr>
        <w:t>usted</w:t>
      </w:r>
      <w:r w:rsidRPr="004B4329">
        <w:rPr>
          <w:rFonts w:cs="Arial"/>
          <w:sz w:val="22"/>
          <w:szCs w:val="22"/>
          <w:lang w:eastAsia="en-GB"/>
        </w:rPr>
        <w:t xml:space="preserve"> per BADS)</w:t>
      </w:r>
    </w:p>
    <w:p w14:paraId="59C5065A"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4B4329">
        <w:rPr>
          <w:rFonts w:cs="Arial"/>
          <w:sz w:val="22"/>
          <w:szCs w:val="22"/>
          <w:lang w:eastAsia="en-GB"/>
        </w:rPr>
        <w:t>Depth of coding (not case mix adjusted)</w:t>
      </w:r>
    </w:p>
    <w:p w14:paraId="7691868E"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4B4329">
        <w:rPr>
          <w:rFonts w:cs="Arial"/>
          <w:sz w:val="22"/>
          <w:szCs w:val="22"/>
          <w:lang w:eastAsia="en-GB"/>
        </w:rPr>
        <w:t>Percentage of coded episodes with signs and symptoms as a primary diagnosis (episode 2)</w:t>
      </w:r>
    </w:p>
    <w:p w14:paraId="47E3E9F3"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4B4329">
        <w:rPr>
          <w:rFonts w:cs="Arial"/>
          <w:sz w:val="22"/>
          <w:szCs w:val="22"/>
          <w:lang w:eastAsia="en-GB"/>
        </w:rPr>
        <w:t xml:space="preserve">Percentage of </w:t>
      </w:r>
      <w:proofErr w:type="spellStart"/>
      <w:r w:rsidRPr="004B4329">
        <w:rPr>
          <w:rFonts w:cs="Arial"/>
          <w:sz w:val="22"/>
          <w:szCs w:val="22"/>
          <w:lang w:eastAsia="en-GB"/>
        </w:rPr>
        <w:t>uncoded</w:t>
      </w:r>
      <w:proofErr w:type="spellEnd"/>
      <w:r w:rsidRPr="004B4329">
        <w:rPr>
          <w:rFonts w:cs="Arial"/>
          <w:sz w:val="22"/>
          <w:szCs w:val="22"/>
          <w:lang w:eastAsia="en-GB"/>
        </w:rPr>
        <w:t xml:space="preserve"> spells</w:t>
      </w:r>
    </w:p>
    <w:p w14:paraId="0D92EC91"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4B4329">
        <w:rPr>
          <w:rFonts w:cs="Arial"/>
          <w:sz w:val="22"/>
          <w:szCs w:val="22"/>
          <w:lang w:eastAsia="en-GB"/>
        </w:rPr>
        <w:t>CQC inpatient survey (overall care question)</w:t>
      </w:r>
    </w:p>
    <w:p w14:paraId="588A2F9F"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4B4329">
        <w:rPr>
          <w:rFonts w:cs="Arial"/>
          <w:sz w:val="22"/>
          <w:szCs w:val="22"/>
          <w:lang w:eastAsia="en-GB"/>
        </w:rPr>
        <w:t>Percentage of outpatient first appointments not attended (treatment function adjusted)</w:t>
      </w:r>
    </w:p>
    <w:p w14:paraId="4851C266"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4B4329">
        <w:rPr>
          <w:rFonts w:cs="Arial"/>
          <w:sz w:val="22"/>
          <w:szCs w:val="22"/>
          <w:lang w:eastAsia="en-GB"/>
        </w:rPr>
        <w:t>Rate of emergency readmission to hospital (&gt;16; 28 days)</w:t>
      </w:r>
    </w:p>
    <w:p w14:paraId="039BA284"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89573D">
        <w:rPr>
          <w:rFonts w:cs="Arial"/>
          <w:sz w:val="22"/>
          <w:szCs w:val="22"/>
          <w:lang w:eastAsia="en-GB"/>
        </w:rPr>
        <w:t>Emergency readmission within 28 days of discharge following hip fracture (65+)</w:t>
      </w:r>
    </w:p>
    <w:p w14:paraId="04B6652B"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Percentage of elective admissions where planned procedure not carried out (not patient decision)</w:t>
      </w:r>
    </w:p>
    <w:p w14:paraId="6453D379"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Reference Cost Index (RCI)</w:t>
      </w:r>
    </w:p>
    <w:p w14:paraId="7EE4B347"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Summary Hospital-level Mortality Index (SHMI)</w:t>
      </w:r>
    </w:p>
    <w:p w14:paraId="26BEA155"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Staff survey (overall job satisfaction question)</w:t>
      </w:r>
    </w:p>
    <w:p w14:paraId="7A3FFB23"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Risk adjusted length of stay</w:t>
      </w:r>
    </w:p>
    <w:p w14:paraId="039275F0"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Risk adjusted mortality index</w:t>
      </w:r>
    </w:p>
    <w:p w14:paraId="24C3345B"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Rate of emergency readmission to hospital following AMI within 28 days</w:t>
      </w:r>
    </w:p>
    <w:p w14:paraId="6FBC5B6D"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 xml:space="preserve">Rate of emergency readmission to hospital within 14 days </w:t>
      </w:r>
      <w:r>
        <w:rPr>
          <w:rFonts w:cs="Arial"/>
          <w:sz w:val="22"/>
          <w:szCs w:val="22"/>
          <w:lang w:eastAsia="en-GB"/>
        </w:rPr>
        <w:t>–</w:t>
      </w:r>
      <w:r w:rsidRPr="009E6359">
        <w:rPr>
          <w:rFonts w:cs="Arial"/>
          <w:sz w:val="22"/>
          <w:szCs w:val="22"/>
          <w:lang w:eastAsia="en-GB"/>
        </w:rPr>
        <w:t xml:space="preserve"> COPD</w:t>
      </w:r>
    </w:p>
    <w:p w14:paraId="280C52AB"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Percentage of elective inpatients admitted on day of procedure</w:t>
      </w:r>
    </w:p>
    <w:p w14:paraId="7BCC3D83"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Patient misadventure rate (ICD-based)</w:t>
      </w:r>
    </w:p>
    <w:p w14:paraId="6560D129" w14:textId="77777777" w:rsidR="0069357A"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 xml:space="preserve">Percentage of patients &gt;65 with fractured neck of femur with pre-op </w:t>
      </w:r>
      <w:proofErr w:type="spellStart"/>
      <w:r w:rsidRPr="009E6359">
        <w:rPr>
          <w:rFonts w:cs="Arial"/>
          <w:sz w:val="22"/>
          <w:szCs w:val="22"/>
          <w:lang w:eastAsia="en-GB"/>
        </w:rPr>
        <w:t>LoS</w:t>
      </w:r>
      <w:proofErr w:type="spellEnd"/>
      <w:r w:rsidRPr="009E6359">
        <w:rPr>
          <w:rFonts w:cs="Arial"/>
          <w:sz w:val="22"/>
          <w:szCs w:val="22"/>
          <w:lang w:eastAsia="en-GB"/>
        </w:rPr>
        <w:t xml:space="preserve"> &lt;=2</w:t>
      </w:r>
    </w:p>
    <w:p w14:paraId="4E44F46D" w14:textId="77777777" w:rsidR="0069357A" w:rsidRPr="009E6359" w:rsidRDefault="0069357A" w:rsidP="0069357A">
      <w:pPr>
        <w:pStyle w:val="ListParagraph"/>
        <w:numPr>
          <w:ilvl w:val="0"/>
          <w:numId w:val="23"/>
        </w:numPr>
        <w:autoSpaceDE w:val="0"/>
        <w:autoSpaceDN w:val="0"/>
        <w:adjustRightInd w:val="0"/>
        <w:rPr>
          <w:rFonts w:cs="Arial"/>
          <w:sz w:val="22"/>
          <w:szCs w:val="22"/>
          <w:lang w:eastAsia="en-GB"/>
        </w:rPr>
      </w:pPr>
      <w:r w:rsidRPr="009E6359">
        <w:rPr>
          <w:rFonts w:cs="Arial"/>
          <w:sz w:val="22"/>
          <w:szCs w:val="22"/>
          <w:lang w:eastAsia="en-GB"/>
        </w:rPr>
        <w:t xml:space="preserve">Unnecessary admissions via A&amp;E (zero </w:t>
      </w:r>
      <w:r>
        <w:rPr>
          <w:rFonts w:cs="Arial"/>
          <w:sz w:val="22"/>
          <w:szCs w:val="22"/>
          <w:lang w:eastAsia="en-GB"/>
        </w:rPr>
        <w:t>length of stay</w:t>
      </w:r>
      <w:r w:rsidRPr="009E6359">
        <w:rPr>
          <w:rFonts w:cs="Arial"/>
          <w:sz w:val="22"/>
          <w:szCs w:val="22"/>
          <w:lang w:eastAsia="en-GB"/>
        </w:rPr>
        <w:t xml:space="preserve"> as </w:t>
      </w:r>
      <w:r>
        <w:rPr>
          <w:rFonts w:cs="Arial"/>
          <w:sz w:val="22"/>
          <w:szCs w:val="22"/>
          <w:lang w:eastAsia="en-GB"/>
        </w:rPr>
        <w:t>percentage</w:t>
      </w:r>
      <w:r w:rsidRPr="009E6359">
        <w:rPr>
          <w:rFonts w:cs="Arial"/>
          <w:sz w:val="22"/>
          <w:szCs w:val="22"/>
          <w:lang w:eastAsia="en-GB"/>
        </w:rPr>
        <w:t xml:space="preserve"> emergency)</w:t>
      </w:r>
    </w:p>
    <w:p w14:paraId="4661CDF8" w14:textId="77777777" w:rsidR="0069357A" w:rsidRPr="006C1F62" w:rsidRDefault="0069357A" w:rsidP="0069357A">
      <w:pPr>
        <w:autoSpaceDE w:val="0"/>
        <w:autoSpaceDN w:val="0"/>
        <w:adjustRightInd w:val="0"/>
        <w:rPr>
          <w:sz w:val="22"/>
          <w:szCs w:val="22"/>
        </w:rPr>
      </w:pPr>
    </w:p>
    <w:p w14:paraId="31276ACD" w14:textId="77777777" w:rsidR="0069357A" w:rsidRDefault="0069357A" w:rsidP="0069357A">
      <w:pPr>
        <w:autoSpaceDE w:val="0"/>
        <w:autoSpaceDN w:val="0"/>
        <w:adjustRightInd w:val="0"/>
        <w:rPr>
          <w:rFonts w:cs="Arial"/>
          <w:color w:val="000000"/>
          <w:sz w:val="22"/>
          <w:szCs w:val="22"/>
        </w:rPr>
      </w:pPr>
    </w:p>
    <w:p w14:paraId="50390DCB" w14:textId="77777777" w:rsidR="0069357A" w:rsidRDefault="0069357A" w:rsidP="0069357A">
      <w:pPr>
        <w:autoSpaceDE w:val="0"/>
        <w:autoSpaceDN w:val="0"/>
        <w:adjustRightInd w:val="0"/>
        <w:rPr>
          <w:sz w:val="22"/>
          <w:szCs w:val="22"/>
        </w:rPr>
      </w:pPr>
      <w:r>
        <w:rPr>
          <w:rFonts w:cs="Arial"/>
          <w:sz w:val="22"/>
          <w:szCs w:val="22"/>
          <w:lang w:eastAsia="en-GB"/>
        </w:rPr>
        <w:t>3</w:t>
      </w:r>
      <w:r w:rsidRPr="006C1F62">
        <w:rPr>
          <w:rFonts w:cs="Arial"/>
          <w:sz w:val="22"/>
          <w:szCs w:val="22"/>
          <w:lang w:eastAsia="en-GB"/>
        </w:rPr>
        <w:t xml:space="preserve">. </w:t>
      </w:r>
      <w:r w:rsidRPr="006C1F62">
        <w:rPr>
          <w:sz w:val="22"/>
          <w:szCs w:val="22"/>
        </w:rPr>
        <w:t xml:space="preserve">The </w:t>
      </w:r>
      <w:r>
        <w:rPr>
          <w:sz w:val="22"/>
          <w:szCs w:val="22"/>
        </w:rPr>
        <w:t>CHKS Top Hospitals 2018 are:</w:t>
      </w:r>
    </w:p>
    <w:p w14:paraId="37D2FDFD" w14:textId="77777777" w:rsidR="0069357A" w:rsidRDefault="0069357A" w:rsidP="0069357A">
      <w:pPr>
        <w:autoSpaceDE w:val="0"/>
        <w:autoSpaceDN w:val="0"/>
        <w:adjustRightInd w:val="0"/>
        <w:rPr>
          <w:sz w:val="22"/>
          <w:szCs w:val="22"/>
        </w:rPr>
      </w:pPr>
    </w:p>
    <w:p w14:paraId="5FA64111" w14:textId="77777777" w:rsidR="001812BE" w:rsidRPr="001812BE" w:rsidRDefault="001812BE" w:rsidP="001812BE">
      <w:pPr>
        <w:rPr>
          <w:rStyle w:val="A1"/>
          <w:color w:val="auto"/>
          <w:sz w:val="22"/>
          <w:szCs w:val="22"/>
        </w:rPr>
      </w:pPr>
      <w:r w:rsidRPr="001812BE">
        <w:rPr>
          <w:rStyle w:val="A1"/>
          <w:color w:val="auto"/>
          <w:sz w:val="22"/>
          <w:szCs w:val="22"/>
        </w:rPr>
        <w:t>West Suffolk NHS Foundation Trust</w:t>
      </w:r>
    </w:p>
    <w:p w14:paraId="081B0651" w14:textId="77777777" w:rsidR="001812BE" w:rsidRPr="001812BE" w:rsidRDefault="001812BE" w:rsidP="001812BE">
      <w:pPr>
        <w:rPr>
          <w:rStyle w:val="A1"/>
          <w:color w:val="auto"/>
          <w:sz w:val="22"/>
          <w:szCs w:val="22"/>
        </w:rPr>
      </w:pPr>
      <w:r w:rsidRPr="001812BE">
        <w:rPr>
          <w:rStyle w:val="A1"/>
          <w:color w:val="auto"/>
          <w:sz w:val="22"/>
          <w:szCs w:val="22"/>
        </w:rPr>
        <w:t xml:space="preserve">Shrewsbury and Telford Hospital NHS Trust </w:t>
      </w:r>
    </w:p>
    <w:p w14:paraId="0FCDFC70" w14:textId="77777777" w:rsidR="001812BE" w:rsidRPr="001812BE" w:rsidRDefault="001812BE" w:rsidP="001812BE">
      <w:pPr>
        <w:rPr>
          <w:rStyle w:val="A1"/>
          <w:color w:val="auto"/>
          <w:sz w:val="22"/>
          <w:szCs w:val="22"/>
        </w:rPr>
      </w:pPr>
      <w:r w:rsidRPr="001812BE">
        <w:rPr>
          <w:rStyle w:val="A1"/>
          <w:color w:val="auto"/>
          <w:sz w:val="22"/>
          <w:szCs w:val="22"/>
        </w:rPr>
        <w:t>Surrey and Sussex Healthcare NHS Trust</w:t>
      </w:r>
    </w:p>
    <w:p w14:paraId="6C5A1234" w14:textId="77777777" w:rsidR="001812BE" w:rsidRPr="001812BE" w:rsidRDefault="001812BE" w:rsidP="001812BE">
      <w:pPr>
        <w:rPr>
          <w:rStyle w:val="A1"/>
          <w:color w:val="auto"/>
          <w:sz w:val="22"/>
          <w:szCs w:val="22"/>
        </w:rPr>
      </w:pPr>
      <w:r w:rsidRPr="001812BE">
        <w:rPr>
          <w:rStyle w:val="A1"/>
          <w:color w:val="auto"/>
          <w:sz w:val="22"/>
          <w:szCs w:val="22"/>
        </w:rPr>
        <w:t>East Cheshire NHS Trust</w:t>
      </w:r>
    </w:p>
    <w:p w14:paraId="56793399" w14:textId="77777777" w:rsidR="001812BE" w:rsidRPr="001812BE" w:rsidRDefault="001812BE" w:rsidP="001812BE">
      <w:pPr>
        <w:rPr>
          <w:rStyle w:val="A1"/>
          <w:color w:val="auto"/>
          <w:sz w:val="22"/>
          <w:szCs w:val="22"/>
        </w:rPr>
      </w:pPr>
      <w:r w:rsidRPr="001812BE">
        <w:rPr>
          <w:rStyle w:val="A1"/>
          <w:color w:val="auto"/>
          <w:sz w:val="22"/>
          <w:szCs w:val="22"/>
        </w:rPr>
        <w:t>Homerton University Hospital NHS Foundation Trust</w:t>
      </w:r>
    </w:p>
    <w:p w14:paraId="36E02F98" w14:textId="77777777" w:rsidR="001812BE" w:rsidRPr="001812BE" w:rsidRDefault="001812BE" w:rsidP="001812BE">
      <w:pPr>
        <w:rPr>
          <w:rStyle w:val="A1"/>
          <w:color w:val="auto"/>
          <w:sz w:val="22"/>
          <w:szCs w:val="22"/>
        </w:rPr>
      </w:pPr>
      <w:r w:rsidRPr="001812BE">
        <w:rPr>
          <w:rStyle w:val="A1"/>
          <w:color w:val="auto"/>
          <w:sz w:val="22"/>
          <w:szCs w:val="22"/>
        </w:rPr>
        <w:t>Royal Surrey County Hospital NHS Foundation Trust</w:t>
      </w:r>
    </w:p>
    <w:p w14:paraId="518E9A6F" w14:textId="77777777" w:rsidR="001812BE" w:rsidRPr="001812BE" w:rsidRDefault="001812BE" w:rsidP="001812BE">
      <w:pPr>
        <w:rPr>
          <w:rStyle w:val="A1"/>
          <w:color w:val="auto"/>
          <w:sz w:val="22"/>
          <w:szCs w:val="22"/>
        </w:rPr>
      </w:pPr>
      <w:r w:rsidRPr="001812BE">
        <w:rPr>
          <w:rStyle w:val="A1"/>
          <w:color w:val="auto"/>
          <w:sz w:val="22"/>
          <w:szCs w:val="22"/>
        </w:rPr>
        <w:t>Kingston Hospital NHS Foundation Trust</w:t>
      </w:r>
    </w:p>
    <w:p w14:paraId="66C7785A" w14:textId="77777777" w:rsidR="001812BE" w:rsidRPr="001812BE" w:rsidRDefault="001812BE" w:rsidP="001812BE">
      <w:pPr>
        <w:rPr>
          <w:rStyle w:val="A1"/>
          <w:color w:val="auto"/>
          <w:sz w:val="22"/>
          <w:szCs w:val="22"/>
        </w:rPr>
      </w:pPr>
      <w:r w:rsidRPr="001812BE">
        <w:rPr>
          <w:rStyle w:val="A1"/>
          <w:color w:val="auto"/>
          <w:sz w:val="22"/>
          <w:szCs w:val="22"/>
        </w:rPr>
        <w:t>Western Sussex Hospitals NHS Foundation Trust</w:t>
      </w:r>
    </w:p>
    <w:p w14:paraId="0D610158" w14:textId="77777777" w:rsidR="001812BE" w:rsidRPr="001812BE" w:rsidRDefault="001812BE" w:rsidP="001812BE">
      <w:pPr>
        <w:rPr>
          <w:rStyle w:val="A1"/>
          <w:color w:val="auto"/>
          <w:sz w:val="22"/>
          <w:szCs w:val="22"/>
        </w:rPr>
      </w:pPr>
      <w:r w:rsidRPr="001812BE">
        <w:rPr>
          <w:rStyle w:val="A1"/>
          <w:color w:val="auto"/>
          <w:sz w:val="22"/>
          <w:szCs w:val="22"/>
        </w:rPr>
        <w:t>Ashford and St Peter's Hospitals NHS Foundation Trust</w:t>
      </w:r>
    </w:p>
    <w:p w14:paraId="5D7D4EFB" w14:textId="77777777" w:rsidR="001812BE" w:rsidRPr="001812BE" w:rsidRDefault="001812BE" w:rsidP="001812BE">
      <w:pPr>
        <w:rPr>
          <w:rStyle w:val="A1"/>
          <w:color w:val="auto"/>
          <w:sz w:val="22"/>
          <w:szCs w:val="22"/>
        </w:rPr>
      </w:pPr>
      <w:r w:rsidRPr="001812BE">
        <w:rPr>
          <w:rStyle w:val="A1"/>
          <w:color w:val="auto"/>
          <w:sz w:val="22"/>
          <w:szCs w:val="22"/>
        </w:rPr>
        <w:t>Airedale NHS Foundation Trust</w:t>
      </w:r>
    </w:p>
    <w:p w14:paraId="162A8F2C" w14:textId="77777777" w:rsidR="001812BE" w:rsidRPr="001812BE" w:rsidRDefault="001812BE" w:rsidP="001812BE">
      <w:pPr>
        <w:rPr>
          <w:rStyle w:val="A1"/>
          <w:color w:val="auto"/>
          <w:sz w:val="22"/>
          <w:szCs w:val="22"/>
        </w:rPr>
      </w:pPr>
      <w:r w:rsidRPr="001812BE">
        <w:rPr>
          <w:rStyle w:val="A1"/>
          <w:color w:val="auto"/>
          <w:sz w:val="22"/>
          <w:szCs w:val="22"/>
        </w:rPr>
        <w:t>South Warwickshire NHS Foundation Trust</w:t>
      </w:r>
    </w:p>
    <w:p w14:paraId="79C35529" w14:textId="77777777" w:rsidR="001812BE" w:rsidRPr="001812BE" w:rsidRDefault="001812BE" w:rsidP="001812BE">
      <w:pPr>
        <w:rPr>
          <w:rStyle w:val="A1"/>
          <w:color w:val="auto"/>
          <w:sz w:val="22"/>
          <w:szCs w:val="22"/>
        </w:rPr>
      </w:pPr>
      <w:r w:rsidRPr="001812BE">
        <w:rPr>
          <w:rStyle w:val="A1"/>
          <w:color w:val="auto"/>
          <w:sz w:val="22"/>
          <w:szCs w:val="22"/>
        </w:rPr>
        <w:t>Norfolk and Norwich University Hospitals NHS Foundation Trust</w:t>
      </w:r>
    </w:p>
    <w:p w14:paraId="55A6FF5A" w14:textId="77777777" w:rsidR="001812BE" w:rsidRPr="001812BE" w:rsidRDefault="001812BE" w:rsidP="001812BE">
      <w:pPr>
        <w:rPr>
          <w:rStyle w:val="A1"/>
          <w:color w:val="auto"/>
          <w:sz w:val="22"/>
          <w:szCs w:val="22"/>
        </w:rPr>
      </w:pPr>
      <w:r w:rsidRPr="001812BE">
        <w:rPr>
          <w:rStyle w:val="A1"/>
          <w:color w:val="auto"/>
          <w:sz w:val="22"/>
          <w:szCs w:val="22"/>
        </w:rPr>
        <w:t>Taunton and Somerset NHS Foundation Trust</w:t>
      </w:r>
    </w:p>
    <w:p w14:paraId="029F0A79" w14:textId="77777777" w:rsidR="001812BE" w:rsidRPr="001812BE" w:rsidRDefault="001812BE" w:rsidP="001812BE">
      <w:pPr>
        <w:rPr>
          <w:rStyle w:val="A1"/>
          <w:color w:val="auto"/>
          <w:sz w:val="22"/>
          <w:szCs w:val="22"/>
        </w:rPr>
      </w:pPr>
      <w:proofErr w:type="spellStart"/>
      <w:r w:rsidRPr="001812BE">
        <w:rPr>
          <w:rStyle w:val="A1"/>
          <w:color w:val="auto"/>
          <w:sz w:val="22"/>
          <w:szCs w:val="22"/>
        </w:rPr>
        <w:t>Wrightington</w:t>
      </w:r>
      <w:proofErr w:type="spellEnd"/>
      <w:r w:rsidRPr="001812BE">
        <w:rPr>
          <w:rStyle w:val="A1"/>
          <w:color w:val="auto"/>
          <w:sz w:val="22"/>
          <w:szCs w:val="22"/>
        </w:rPr>
        <w:t>, Wigan and Leigh NHS Foundation Trust</w:t>
      </w:r>
    </w:p>
    <w:p w14:paraId="2A617137" w14:textId="77777777" w:rsidR="001812BE" w:rsidRPr="001812BE" w:rsidRDefault="001812BE" w:rsidP="001812BE">
      <w:pPr>
        <w:rPr>
          <w:rStyle w:val="A1"/>
          <w:color w:val="auto"/>
          <w:sz w:val="22"/>
          <w:szCs w:val="22"/>
        </w:rPr>
      </w:pPr>
      <w:r w:rsidRPr="001812BE">
        <w:rPr>
          <w:rStyle w:val="A1"/>
          <w:color w:val="auto"/>
          <w:sz w:val="22"/>
          <w:szCs w:val="22"/>
        </w:rPr>
        <w:t>Dorset County Hospital NHS Foundation Trust</w:t>
      </w:r>
    </w:p>
    <w:p w14:paraId="1785081B" w14:textId="77777777" w:rsidR="001812BE" w:rsidRPr="001812BE" w:rsidRDefault="001812BE" w:rsidP="001812BE">
      <w:pPr>
        <w:rPr>
          <w:rStyle w:val="A1"/>
          <w:color w:val="auto"/>
          <w:sz w:val="22"/>
          <w:szCs w:val="22"/>
        </w:rPr>
      </w:pPr>
      <w:r w:rsidRPr="001812BE">
        <w:rPr>
          <w:rStyle w:val="A1"/>
          <w:color w:val="auto"/>
          <w:sz w:val="22"/>
          <w:szCs w:val="22"/>
        </w:rPr>
        <w:t>Weston Area Health NHS Trust</w:t>
      </w:r>
    </w:p>
    <w:p w14:paraId="6594C04F" w14:textId="77777777" w:rsidR="001812BE" w:rsidRPr="001812BE" w:rsidRDefault="001812BE" w:rsidP="001812BE">
      <w:pPr>
        <w:rPr>
          <w:rStyle w:val="A1"/>
          <w:color w:val="auto"/>
          <w:sz w:val="22"/>
          <w:szCs w:val="22"/>
        </w:rPr>
      </w:pPr>
      <w:r w:rsidRPr="001812BE">
        <w:rPr>
          <w:rStyle w:val="A1"/>
          <w:color w:val="auto"/>
          <w:sz w:val="22"/>
          <w:szCs w:val="22"/>
        </w:rPr>
        <w:t>Harrogate And District NHS Foundation Trust</w:t>
      </w:r>
    </w:p>
    <w:p w14:paraId="16A28200" w14:textId="77777777" w:rsidR="001812BE" w:rsidRPr="001812BE" w:rsidRDefault="001812BE" w:rsidP="001812BE">
      <w:pPr>
        <w:rPr>
          <w:rStyle w:val="A1"/>
          <w:color w:val="auto"/>
          <w:sz w:val="22"/>
          <w:szCs w:val="22"/>
        </w:rPr>
      </w:pPr>
      <w:r w:rsidRPr="001812BE">
        <w:rPr>
          <w:rStyle w:val="A1"/>
          <w:color w:val="auto"/>
          <w:sz w:val="22"/>
          <w:szCs w:val="22"/>
        </w:rPr>
        <w:t>Southern Trust</w:t>
      </w:r>
    </w:p>
    <w:p w14:paraId="7361F1AB" w14:textId="77777777" w:rsidR="001812BE" w:rsidRPr="001812BE" w:rsidRDefault="001812BE" w:rsidP="001812BE">
      <w:pPr>
        <w:rPr>
          <w:rStyle w:val="A1"/>
          <w:color w:val="auto"/>
          <w:sz w:val="22"/>
          <w:szCs w:val="22"/>
        </w:rPr>
      </w:pPr>
      <w:r w:rsidRPr="001812BE">
        <w:rPr>
          <w:rStyle w:val="A1"/>
          <w:color w:val="auto"/>
          <w:sz w:val="22"/>
          <w:szCs w:val="22"/>
        </w:rPr>
        <w:t>Chelsea and Westminster Hospital NHS Foundation Trust</w:t>
      </w:r>
    </w:p>
    <w:p w14:paraId="0F812BC1" w14:textId="77777777" w:rsidR="001812BE" w:rsidRPr="001812BE" w:rsidRDefault="001812BE" w:rsidP="001812BE">
      <w:pPr>
        <w:rPr>
          <w:rStyle w:val="A1"/>
          <w:color w:val="auto"/>
          <w:sz w:val="22"/>
          <w:szCs w:val="22"/>
        </w:rPr>
      </w:pPr>
      <w:proofErr w:type="spellStart"/>
      <w:r w:rsidRPr="001812BE">
        <w:rPr>
          <w:rStyle w:val="A1"/>
          <w:color w:val="auto"/>
          <w:sz w:val="22"/>
          <w:szCs w:val="22"/>
        </w:rPr>
        <w:t>Northumbria</w:t>
      </w:r>
      <w:proofErr w:type="spellEnd"/>
      <w:r w:rsidRPr="001812BE">
        <w:rPr>
          <w:rStyle w:val="A1"/>
          <w:color w:val="auto"/>
          <w:sz w:val="22"/>
          <w:szCs w:val="22"/>
        </w:rPr>
        <w:t xml:space="preserve"> Healthcare NHS Foundation Trust</w:t>
      </w:r>
    </w:p>
    <w:p w14:paraId="44E37A14" w14:textId="77777777" w:rsidR="001812BE" w:rsidRPr="001812BE" w:rsidRDefault="001812BE" w:rsidP="001812BE">
      <w:pPr>
        <w:rPr>
          <w:rStyle w:val="A1"/>
          <w:color w:val="auto"/>
          <w:sz w:val="22"/>
          <w:szCs w:val="22"/>
        </w:rPr>
      </w:pPr>
      <w:r w:rsidRPr="001812BE">
        <w:rPr>
          <w:rStyle w:val="A1"/>
          <w:color w:val="auto"/>
          <w:sz w:val="22"/>
          <w:szCs w:val="22"/>
        </w:rPr>
        <w:t>Wirral University Teaching Hospital NHS Foundation Trust</w:t>
      </w:r>
    </w:p>
    <w:p w14:paraId="65CF35BE" w14:textId="77777777" w:rsidR="001812BE" w:rsidRPr="001812BE" w:rsidRDefault="001812BE" w:rsidP="001812BE">
      <w:pPr>
        <w:rPr>
          <w:rStyle w:val="A1"/>
          <w:color w:val="auto"/>
          <w:sz w:val="22"/>
          <w:szCs w:val="22"/>
        </w:rPr>
      </w:pPr>
      <w:r w:rsidRPr="001812BE">
        <w:rPr>
          <w:rStyle w:val="A1"/>
          <w:color w:val="auto"/>
          <w:sz w:val="22"/>
          <w:szCs w:val="22"/>
        </w:rPr>
        <w:t>Bedford Hospital NHS Trust</w:t>
      </w:r>
    </w:p>
    <w:p w14:paraId="594DAA1D" w14:textId="77777777" w:rsidR="001812BE" w:rsidRPr="001812BE" w:rsidRDefault="001812BE" w:rsidP="001812BE">
      <w:pPr>
        <w:rPr>
          <w:rStyle w:val="A1"/>
          <w:color w:val="auto"/>
          <w:sz w:val="22"/>
          <w:szCs w:val="22"/>
        </w:rPr>
      </w:pPr>
      <w:r w:rsidRPr="001812BE">
        <w:rPr>
          <w:rStyle w:val="A1"/>
          <w:color w:val="auto"/>
          <w:sz w:val="22"/>
          <w:szCs w:val="22"/>
        </w:rPr>
        <w:t xml:space="preserve">The </w:t>
      </w:r>
      <w:proofErr w:type="spellStart"/>
      <w:r w:rsidRPr="001812BE">
        <w:rPr>
          <w:rStyle w:val="A1"/>
          <w:color w:val="auto"/>
          <w:sz w:val="22"/>
          <w:szCs w:val="22"/>
        </w:rPr>
        <w:t>Hillingdon</w:t>
      </w:r>
      <w:proofErr w:type="spellEnd"/>
      <w:r w:rsidRPr="001812BE">
        <w:rPr>
          <w:rStyle w:val="A1"/>
          <w:color w:val="auto"/>
          <w:sz w:val="22"/>
          <w:szCs w:val="22"/>
        </w:rPr>
        <w:t xml:space="preserve"> Hospitals NHS Foundation Trust</w:t>
      </w:r>
    </w:p>
    <w:p w14:paraId="1384108D" w14:textId="77777777" w:rsidR="001812BE" w:rsidRPr="001812BE" w:rsidRDefault="001812BE" w:rsidP="001812BE">
      <w:pPr>
        <w:rPr>
          <w:rStyle w:val="A1"/>
          <w:color w:val="auto"/>
          <w:sz w:val="22"/>
          <w:szCs w:val="22"/>
        </w:rPr>
      </w:pPr>
      <w:r w:rsidRPr="001812BE">
        <w:rPr>
          <w:rStyle w:val="A1"/>
          <w:color w:val="auto"/>
          <w:sz w:val="22"/>
          <w:szCs w:val="22"/>
        </w:rPr>
        <w:t>Cambridge University Hospitals NHS Foundation Trust</w:t>
      </w:r>
    </w:p>
    <w:p w14:paraId="4C7BA7EB" w14:textId="77777777" w:rsidR="001812BE" w:rsidRPr="001812BE" w:rsidRDefault="001812BE" w:rsidP="001812BE">
      <w:pPr>
        <w:rPr>
          <w:rStyle w:val="A1"/>
          <w:color w:val="auto"/>
          <w:sz w:val="22"/>
          <w:szCs w:val="22"/>
        </w:rPr>
      </w:pPr>
      <w:r w:rsidRPr="001812BE">
        <w:rPr>
          <w:rStyle w:val="A1"/>
          <w:color w:val="auto"/>
          <w:sz w:val="22"/>
          <w:szCs w:val="22"/>
        </w:rPr>
        <w:t>Poole Hospital NHS Foundation Trust</w:t>
      </w:r>
    </w:p>
    <w:p w14:paraId="11E1CDB8" w14:textId="77777777" w:rsidR="001812BE" w:rsidRPr="001812BE" w:rsidRDefault="001812BE" w:rsidP="001812BE">
      <w:pPr>
        <w:rPr>
          <w:rStyle w:val="A1"/>
          <w:color w:val="auto"/>
          <w:sz w:val="22"/>
          <w:szCs w:val="22"/>
        </w:rPr>
      </w:pPr>
      <w:r w:rsidRPr="001812BE">
        <w:rPr>
          <w:rStyle w:val="A1"/>
          <w:color w:val="auto"/>
          <w:sz w:val="22"/>
          <w:szCs w:val="22"/>
        </w:rPr>
        <w:t>Imperial College Healthcare NHS Trust</w:t>
      </w:r>
    </w:p>
    <w:p w14:paraId="1E9DC3D1" w14:textId="77777777" w:rsidR="001812BE" w:rsidRPr="001812BE" w:rsidRDefault="001812BE" w:rsidP="001812BE">
      <w:pPr>
        <w:rPr>
          <w:rStyle w:val="A1"/>
          <w:color w:val="auto"/>
          <w:sz w:val="22"/>
          <w:szCs w:val="22"/>
        </w:rPr>
      </w:pPr>
      <w:proofErr w:type="spellStart"/>
      <w:r w:rsidRPr="001812BE">
        <w:rPr>
          <w:rStyle w:val="A1"/>
          <w:color w:val="auto"/>
          <w:sz w:val="22"/>
          <w:szCs w:val="22"/>
        </w:rPr>
        <w:t>Yeovil</w:t>
      </w:r>
      <w:proofErr w:type="spellEnd"/>
      <w:r w:rsidRPr="001812BE">
        <w:rPr>
          <w:rStyle w:val="A1"/>
          <w:color w:val="auto"/>
          <w:sz w:val="22"/>
          <w:szCs w:val="22"/>
        </w:rPr>
        <w:t xml:space="preserve"> District Hospital NHS Foundation Trust</w:t>
      </w:r>
    </w:p>
    <w:p w14:paraId="256DF6B4" w14:textId="77777777" w:rsidR="001812BE" w:rsidRPr="001812BE" w:rsidRDefault="001812BE" w:rsidP="001812BE">
      <w:pPr>
        <w:rPr>
          <w:rStyle w:val="A1"/>
          <w:color w:val="auto"/>
          <w:sz w:val="22"/>
          <w:szCs w:val="22"/>
        </w:rPr>
      </w:pPr>
      <w:r w:rsidRPr="001812BE">
        <w:rPr>
          <w:rStyle w:val="A1"/>
          <w:color w:val="auto"/>
          <w:sz w:val="22"/>
          <w:szCs w:val="22"/>
        </w:rPr>
        <w:lastRenderedPageBreak/>
        <w:t>The Dudley Group NHS Foundation Trust</w:t>
      </w:r>
    </w:p>
    <w:p w14:paraId="069E1FB3" w14:textId="77777777" w:rsidR="001812BE" w:rsidRPr="001812BE" w:rsidRDefault="001812BE" w:rsidP="001812BE">
      <w:pPr>
        <w:rPr>
          <w:rStyle w:val="A1"/>
          <w:color w:val="auto"/>
          <w:sz w:val="22"/>
          <w:szCs w:val="22"/>
        </w:rPr>
      </w:pPr>
      <w:r w:rsidRPr="001812BE">
        <w:rPr>
          <w:rStyle w:val="A1"/>
          <w:color w:val="auto"/>
          <w:sz w:val="22"/>
          <w:szCs w:val="22"/>
        </w:rPr>
        <w:t>The Royal Bournemouth and Christchurch Hospitals NHS Foundation Trust</w:t>
      </w:r>
    </w:p>
    <w:p w14:paraId="7B32D45D" w14:textId="77777777" w:rsidR="001812BE" w:rsidRPr="001812BE" w:rsidRDefault="001812BE" w:rsidP="001812BE">
      <w:pPr>
        <w:rPr>
          <w:rStyle w:val="A1"/>
          <w:color w:val="auto"/>
          <w:sz w:val="22"/>
          <w:szCs w:val="22"/>
        </w:rPr>
      </w:pPr>
      <w:r w:rsidRPr="001812BE">
        <w:rPr>
          <w:rStyle w:val="A1"/>
          <w:color w:val="auto"/>
          <w:sz w:val="22"/>
          <w:szCs w:val="22"/>
        </w:rPr>
        <w:t>Gateshead Health NHS Foundation Trust</w:t>
      </w:r>
    </w:p>
    <w:p w14:paraId="6199FA61" w14:textId="77777777" w:rsidR="001812BE" w:rsidRPr="001812BE" w:rsidRDefault="001812BE" w:rsidP="001812BE">
      <w:pPr>
        <w:rPr>
          <w:rStyle w:val="A1"/>
          <w:color w:val="auto"/>
          <w:sz w:val="22"/>
          <w:szCs w:val="22"/>
        </w:rPr>
      </w:pPr>
      <w:r w:rsidRPr="001812BE">
        <w:rPr>
          <w:rStyle w:val="A1"/>
          <w:color w:val="auto"/>
          <w:sz w:val="22"/>
          <w:szCs w:val="22"/>
        </w:rPr>
        <w:t>Countess of Chester Hospital NHS Foundation Trust</w:t>
      </w:r>
    </w:p>
    <w:p w14:paraId="6B274064" w14:textId="77777777" w:rsidR="001812BE" w:rsidRPr="001812BE" w:rsidRDefault="001812BE" w:rsidP="001812BE">
      <w:pPr>
        <w:rPr>
          <w:rStyle w:val="A1"/>
          <w:color w:val="auto"/>
          <w:sz w:val="22"/>
          <w:szCs w:val="22"/>
        </w:rPr>
      </w:pPr>
      <w:r w:rsidRPr="001812BE">
        <w:rPr>
          <w:rStyle w:val="A1"/>
          <w:color w:val="auto"/>
          <w:sz w:val="22"/>
          <w:szCs w:val="22"/>
        </w:rPr>
        <w:t>Gloucestershire Hospitals NHS Foundation Trust</w:t>
      </w:r>
    </w:p>
    <w:p w14:paraId="5BDE1E68" w14:textId="77777777" w:rsidR="001812BE" w:rsidRPr="001812BE" w:rsidRDefault="001812BE" w:rsidP="001812BE">
      <w:pPr>
        <w:rPr>
          <w:rStyle w:val="A1"/>
          <w:color w:val="auto"/>
          <w:sz w:val="22"/>
          <w:szCs w:val="22"/>
        </w:rPr>
      </w:pPr>
      <w:r w:rsidRPr="001812BE">
        <w:rPr>
          <w:rStyle w:val="A1"/>
          <w:color w:val="auto"/>
          <w:sz w:val="22"/>
          <w:szCs w:val="22"/>
        </w:rPr>
        <w:t>The Whittington Hospital NHS Trust</w:t>
      </w:r>
    </w:p>
    <w:p w14:paraId="73417324" w14:textId="77777777" w:rsidR="001812BE" w:rsidRPr="001812BE" w:rsidRDefault="001812BE" w:rsidP="001812BE">
      <w:pPr>
        <w:rPr>
          <w:rStyle w:val="A1"/>
          <w:color w:val="auto"/>
          <w:sz w:val="22"/>
          <w:szCs w:val="22"/>
        </w:rPr>
      </w:pPr>
      <w:r w:rsidRPr="001812BE">
        <w:rPr>
          <w:rStyle w:val="A1"/>
          <w:color w:val="auto"/>
          <w:sz w:val="22"/>
          <w:szCs w:val="22"/>
        </w:rPr>
        <w:t>The Queen Elizabeth Hospital, King's Lynn, NHS Foundation Trust</w:t>
      </w:r>
    </w:p>
    <w:p w14:paraId="30EB137B" w14:textId="77777777" w:rsidR="001812BE" w:rsidRPr="001812BE" w:rsidRDefault="001812BE" w:rsidP="001812BE">
      <w:pPr>
        <w:rPr>
          <w:rStyle w:val="A1"/>
          <w:color w:val="auto"/>
          <w:sz w:val="22"/>
          <w:szCs w:val="22"/>
        </w:rPr>
      </w:pPr>
      <w:r w:rsidRPr="001812BE">
        <w:rPr>
          <w:rStyle w:val="A1"/>
          <w:color w:val="auto"/>
          <w:sz w:val="22"/>
          <w:szCs w:val="22"/>
        </w:rPr>
        <w:t>Burton Hospitals NHS Foundation Trust</w:t>
      </w:r>
    </w:p>
    <w:p w14:paraId="3AD88F99" w14:textId="77777777" w:rsidR="001812BE" w:rsidRPr="001812BE" w:rsidRDefault="001812BE" w:rsidP="001812BE">
      <w:pPr>
        <w:rPr>
          <w:rStyle w:val="A1"/>
          <w:color w:val="auto"/>
          <w:sz w:val="22"/>
          <w:szCs w:val="22"/>
        </w:rPr>
      </w:pPr>
      <w:r w:rsidRPr="001812BE">
        <w:rPr>
          <w:rStyle w:val="A1"/>
          <w:color w:val="auto"/>
          <w:sz w:val="22"/>
          <w:szCs w:val="22"/>
        </w:rPr>
        <w:t>Derby Teaching Hospitals NHS Foundation Trust</w:t>
      </w:r>
    </w:p>
    <w:p w14:paraId="2109A5E5" w14:textId="77777777" w:rsidR="001812BE" w:rsidRPr="001812BE" w:rsidRDefault="001812BE" w:rsidP="001812BE">
      <w:pPr>
        <w:rPr>
          <w:rStyle w:val="A1"/>
          <w:color w:val="auto"/>
          <w:sz w:val="22"/>
          <w:szCs w:val="22"/>
        </w:rPr>
      </w:pPr>
      <w:r w:rsidRPr="001812BE">
        <w:rPr>
          <w:rStyle w:val="A1"/>
          <w:color w:val="auto"/>
          <w:sz w:val="22"/>
          <w:szCs w:val="22"/>
        </w:rPr>
        <w:t>George Eliot Hospital NHS Trust</w:t>
      </w:r>
    </w:p>
    <w:p w14:paraId="0A2DF658" w14:textId="77777777" w:rsidR="001812BE" w:rsidRPr="001812BE" w:rsidRDefault="001812BE" w:rsidP="001812BE">
      <w:pPr>
        <w:rPr>
          <w:rStyle w:val="A1"/>
          <w:color w:val="auto"/>
          <w:sz w:val="22"/>
          <w:szCs w:val="22"/>
        </w:rPr>
      </w:pPr>
      <w:r w:rsidRPr="001812BE">
        <w:rPr>
          <w:rStyle w:val="A1"/>
          <w:color w:val="auto"/>
          <w:sz w:val="22"/>
          <w:szCs w:val="22"/>
        </w:rPr>
        <w:t xml:space="preserve">Barking, </w:t>
      </w:r>
      <w:proofErr w:type="spellStart"/>
      <w:r w:rsidRPr="001812BE">
        <w:rPr>
          <w:rStyle w:val="A1"/>
          <w:color w:val="auto"/>
          <w:sz w:val="22"/>
          <w:szCs w:val="22"/>
        </w:rPr>
        <w:t>Havering</w:t>
      </w:r>
      <w:proofErr w:type="spellEnd"/>
      <w:r w:rsidRPr="001812BE">
        <w:rPr>
          <w:rStyle w:val="A1"/>
          <w:color w:val="auto"/>
          <w:sz w:val="22"/>
          <w:szCs w:val="22"/>
        </w:rPr>
        <w:t xml:space="preserve"> and </w:t>
      </w:r>
      <w:proofErr w:type="spellStart"/>
      <w:r w:rsidRPr="001812BE">
        <w:rPr>
          <w:rStyle w:val="A1"/>
          <w:color w:val="auto"/>
          <w:sz w:val="22"/>
          <w:szCs w:val="22"/>
        </w:rPr>
        <w:t>Redbridge</w:t>
      </w:r>
      <w:proofErr w:type="spellEnd"/>
      <w:r w:rsidRPr="001812BE">
        <w:rPr>
          <w:rStyle w:val="A1"/>
          <w:color w:val="auto"/>
          <w:sz w:val="22"/>
          <w:szCs w:val="22"/>
        </w:rPr>
        <w:t xml:space="preserve"> University Hospitals NHS Trust </w:t>
      </w:r>
    </w:p>
    <w:p w14:paraId="205051A2" w14:textId="77777777" w:rsidR="001812BE" w:rsidRPr="001812BE" w:rsidRDefault="001812BE" w:rsidP="001812BE">
      <w:pPr>
        <w:rPr>
          <w:rStyle w:val="A1"/>
          <w:color w:val="auto"/>
          <w:sz w:val="22"/>
          <w:szCs w:val="22"/>
        </w:rPr>
      </w:pPr>
      <w:proofErr w:type="spellStart"/>
      <w:r w:rsidRPr="001812BE">
        <w:rPr>
          <w:rStyle w:val="A1"/>
          <w:color w:val="auto"/>
          <w:sz w:val="22"/>
          <w:szCs w:val="22"/>
        </w:rPr>
        <w:t>Salford</w:t>
      </w:r>
      <w:proofErr w:type="spellEnd"/>
      <w:r w:rsidRPr="001812BE">
        <w:rPr>
          <w:rStyle w:val="A1"/>
          <w:color w:val="auto"/>
          <w:sz w:val="22"/>
          <w:szCs w:val="22"/>
        </w:rPr>
        <w:t xml:space="preserve"> Royal NHS Foundation Trust</w:t>
      </w:r>
    </w:p>
    <w:p w14:paraId="44586827" w14:textId="77777777" w:rsidR="001812BE" w:rsidRPr="001812BE" w:rsidRDefault="001812BE" w:rsidP="001812BE">
      <w:pPr>
        <w:rPr>
          <w:rStyle w:val="A1"/>
          <w:color w:val="auto"/>
          <w:sz w:val="22"/>
          <w:szCs w:val="22"/>
        </w:rPr>
      </w:pPr>
      <w:r w:rsidRPr="001812BE">
        <w:rPr>
          <w:rStyle w:val="A1"/>
          <w:color w:val="auto"/>
          <w:sz w:val="22"/>
          <w:szCs w:val="22"/>
        </w:rPr>
        <w:t>West Hertfordshire Hospitals NHS Trust</w:t>
      </w:r>
    </w:p>
    <w:p w14:paraId="5E29DF85" w14:textId="77777777" w:rsidR="0069357A" w:rsidRDefault="0069357A" w:rsidP="0069357A">
      <w:pPr>
        <w:rPr>
          <w:rFonts w:cs="Arial"/>
          <w:color w:val="000000"/>
          <w:sz w:val="22"/>
          <w:szCs w:val="22"/>
          <w:lang w:eastAsia="en-GB"/>
        </w:rPr>
      </w:pPr>
    </w:p>
    <w:p w14:paraId="0770E2E9" w14:textId="77777777" w:rsidR="0069357A" w:rsidRPr="006C1F62" w:rsidRDefault="0069357A" w:rsidP="0069357A">
      <w:pPr>
        <w:rPr>
          <w:rFonts w:cs="Arial"/>
          <w:color w:val="000000"/>
          <w:sz w:val="22"/>
          <w:szCs w:val="22"/>
          <w:lang w:eastAsia="en-GB"/>
        </w:rPr>
      </w:pPr>
      <w:r>
        <w:rPr>
          <w:rFonts w:cs="Arial"/>
          <w:sz w:val="22"/>
          <w:szCs w:val="22"/>
        </w:rPr>
        <w:t xml:space="preserve">4. To follow the awards on Twitter use the hashtag: </w:t>
      </w:r>
      <w:r w:rsidRPr="009E6359">
        <w:rPr>
          <w:rFonts w:cs="Arial"/>
          <w:sz w:val="22"/>
          <w:szCs w:val="22"/>
          <w:highlight w:val="yellow"/>
        </w:rPr>
        <w:t>#CHKSTH18</w:t>
      </w:r>
    </w:p>
    <w:p w14:paraId="10BDC636" w14:textId="77777777" w:rsidR="0069357A" w:rsidRDefault="0069357A" w:rsidP="0069357A">
      <w:pPr>
        <w:autoSpaceDE w:val="0"/>
        <w:autoSpaceDN w:val="0"/>
        <w:adjustRightInd w:val="0"/>
        <w:rPr>
          <w:rFonts w:cs="Arial"/>
          <w:color w:val="000000"/>
          <w:sz w:val="22"/>
          <w:szCs w:val="22"/>
        </w:rPr>
      </w:pPr>
    </w:p>
    <w:p w14:paraId="5B69B69E" w14:textId="77777777" w:rsidR="0069357A" w:rsidRPr="007F4200" w:rsidRDefault="0069357A" w:rsidP="0069357A">
      <w:pPr>
        <w:autoSpaceDE w:val="0"/>
        <w:autoSpaceDN w:val="0"/>
        <w:adjustRightInd w:val="0"/>
      </w:pPr>
      <w:r w:rsidRPr="007F4200">
        <w:rPr>
          <w:rFonts w:cs="Arial"/>
          <w:i/>
          <w:sz w:val="22"/>
          <w:szCs w:val="22"/>
        </w:rPr>
        <w:t>For media enquires please contact:</w:t>
      </w:r>
      <w:r>
        <w:rPr>
          <w:rFonts w:cs="Arial"/>
          <w:i/>
          <w:sz w:val="22"/>
          <w:szCs w:val="22"/>
        </w:rPr>
        <w:t xml:space="preserve"> </w:t>
      </w:r>
      <w:r w:rsidRPr="00271D1D">
        <w:rPr>
          <w:rFonts w:cs="Arial"/>
          <w:color w:val="000000"/>
          <w:sz w:val="22"/>
          <w:szCs w:val="22"/>
        </w:rPr>
        <w:t>Julian Tyndale-Biscoe</w:t>
      </w:r>
      <w:r>
        <w:rPr>
          <w:rFonts w:cs="Arial"/>
          <w:color w:val="000000"/>
          <w:sz w:val="22"/>
          <w:szCs w:val="22"/>
        </w:rPr>
        <w:t xml:space="preserve">, InHealth Communications, on </w:t>
      </w:r>
      <w:r w:rsidRPr="00271D1D">
        <w:rPr>
          <w:rFonts w:cs="Arial"/>
          <w:color w:val="000000"/>
          <w:sz w:val="22"/>
          <w:szCs w:val="22"/>
        </w:rPr>
        <w:t>07882 98559</w:t>
      </w:r>
      <w:r>
        <w:rPr>
          <w:rFonts w:cs="Arial"/>
          <w:color w:val="000000"/>
          <w:sz w:val="22"/>
          <w:szCs w:val="22"/>
        </w:rPr>
        <w:t>7</w:t>
      </w:r>
    </w:p>
    <w:p w14:paraId="4CE72F99" w14:textId="17DC7E61" w:rsidR="00F20F04" w:rsidRPr="00A15B87" w:rsidRDefault="00F20F04" w:rsidP="0069357A">
      <w:pPr>
        <w:autoSpaceDE w:val="0"/>
        <w:autoSpaceDN w:val="0"/>
        <w:adjustRightInd w:val="0"/>
        <w:rPr>
          <w:rFonts w:cs="Arial"/>
          <w:color w:val="000000"/>
          <w:sz w:val="22"/>
          <w:szCs w:val="22"/>
        </w:rPr>
      </w:pPr>
    </w:p>
    <w:sectPr w:rsidR="00F20F04" w:rsidRPr="00A15B87" w:rsidSect="00762498">
      <w:headerReference w:type="first" r:id="rId9"/>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5D36" w14:textId="77777777" w:rsidR="005D71A0" w:rsidRDefault="005D71A0">
      <w:r>
        <w:separator/>
      </w:r>
    </w:p>
  </w:endnote>
  <w:endnote w:type="continuationSeparator" w:id="0">
    <w:p w14:paraId="530436E5" w14:textId="77777777" w:rsidR="005D71A0" w:rsidRDefault="005D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F983E" w14:textId="77777777" w:rsidR="005D71A0" w:rsidRDefault="005D71A0">
      <w:r>
        <w:separator/>
      </w:r>
    </w:p>
  </w:footnote>
  <w:footnote w:type="continuationSeparator" w:id="0">
    <w:p w14:paraId="32511186" w14:textId="77777777" w:rsidR="005D71A0" w:rsidRDefault="005D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48539" w14:textId="1B1198AC" w:rsidR="00762498" w:rsidRDefault="00762498" w:rsidP="00762498">
    <w:pPr>
      <w:pStyle w:val="Header"/>
      <w:tabs>
        <w:tab w:val="clear" w:pos="4153"/>
        <w:tab w:val="clear" w:pos="8306"/>
        <w:tab w:val="left" w:pos="1212"/>
        <w:tab w:val="left" w:pos="1416"/>
        <w:tab w:val="right" w:pos="9746"/>
      </w:tabs>
      <w:jc w:val="both"/>
    </w:pPr>
    <w:r>
      <w:rPr>
        <w:rFonts w:ascii="Courier New" w:hAnsi="Courier New" w:cs="Courier New"/>
        <w:b/>
        <w:bCs/>
        <w:noProof/>
        <w:color w:val="8C2633"/>
        <w:sz w:val="28"/>
        <w:szCs w:val="28"/>
        <w:lang w:val="en-GB" w:eastAsia="en-GB"/>
      </w:rPr>
      <w:drawing>
        <wp:anchor distT="0" distB="0" distL="114300" distR="114300" simplePos="0" relativeHeight="251658240" behindDoc="1" locked="0" layoutInCell="1" allowOverlap="1" wp14:anchorId="034FC126" wp14:editId="2DFD7C38">
          <wp:simplePos x="0" y="0"/>
          <wp:positionH relativeFrom="column">
            <wp:posOffset>4930140</wp:posOffset>
          </wp:positionH>
          <wp:positionV relativeFrom="paragraph">
            <wp:posOffset>75565</wp:posOffset>
          </wp:positionV>
          <wp:extent cx="1115695" cy="1122045"/>
          <wp:effectExtent l="0" t="0" r="8255" b="1905"/>
          <wp:wrapTight wrapText="bothSides">
            <wp:wrapPolygon edited="0">
              <wp:start x="0" y="0"/>
              <wp:lineTo x="0" y="21270"/>
              <wp:lineTo x="21391" y="21270"/>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22045"/>
                  </a:xfrm>
                  <a:prstGeom prst="rect">
                    <a:avLst/>
                  </a:prstGeom>
                  <a:noFill/>
                </pic:spPr>
              </pic:pic>
            </a:graphicData>
          </a:graphic>
          <wp14:sizeRelH relativeFrom="page">
            <wp14:pctWidth>0</wp14:pctWidth>
          </wp14:sizeRelH>
          <wp14:sizeRelV relativeFrom="page">
            <wp14:pctHeight>0</wp14:pctHeight>
          </wp14:sizeRelV>
        </wp:anchor>
      </w:drawing>
    </w:r>
    <w:r>
      <w:rPr>
        <w:rFonts w:ascii="Courier New" w:hAnsi="Courier New" w:cs="Courier New"/>
        <w:b/>
        <w:bCs/>
        <w:noProof/>
        <w:color w:val="8C2633"/>
        <w:sz w:val="28"/>
        <w:szCs w:val="28"/>
        <w:lang w:val="en-GB" w:eastAsia="en-GB"/>
      </w:rPr>
      <w:drawing>
        <wp:anchor distT="0" distB="0" distL="114300" distR="114300" simplePos="0" relativeHeight="251659264" behindDoc="1" locked="0" layoutInCell="1" allowOverlap="1" wp14:anchorId="78AD7327" wp14:editId="341D313C">
          <wp:simplePos x="0" y="0"/>
          <wp:positionH relativeFrom="margin">
            <wp:align>left</wp:align>
          </wp:positionH>
          <wp:positionV relativeFrom="paragraph">
            <wp:posOffset>-13970</wp:posOffset>
          </wp:positionV>
          <wp:extent cx="2650490" cy="1226820"/>
          <wp:effectExtent l="0" t="0" r="0" b="0"/>
          <wp:wrapTight wrapText="bothSides">
            <wp:wrapPolygon edited="0">
              <wp:start x="0" y="0"/>
              <wp:lineTo x="0" y="21130"/>
              <wp:lineTo x="21424" y="21130"/>
              <wp:lineTo x="21424" y="0"/>
              <wp:lineTo x="0" y="0"/>
            </wp:wrapPolygon>
          </wp:wrapTight>
          <wp:docPr id="6" name="Picture 6" descr="C:\Users\julian\Desktop\TH18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n\Desktop\TH18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049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p w14:paraId="480457AD" w14:textId="77777777" w:rsidR="00826256" w:rsidRDefault="00826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0012"/>
    <w:multiLevelType w:val="hybridMultilevel"/>
    <w:tmpl w:val="8DDCCFF2"/>
    <w:lvl w:ilvl="0" w:tplc="A0F42E2A">
      <w:start w:val="1"/>
      <w:numFmt w:val="decimal"/>
      <w:lvlText w:val="%1."/>
      <w:lvlJc w:val="left"/>
      <w:pPr>
        <w:ind w:left="720" w:hanging="360"/>
      </w:pPr>
      <w:rPr>
        <w:rFonts w:ascii="Helvetica" w:hAnsi="Helvetica" w:cs="Helvetic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BE7D93"/>
    <w:multiLevelType w:val="hybridMultilevel"/>
    <w:tmpl w:val="8B1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36284"/>
    <w:multiLevelType w:val="multilevel"/>
    <w:tmpl w:val="2CA4D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60E98"/>
    <w:multiLevelType w:val="hybridMultilevel"/>
    <w:tmpl w:val="30940054"/>
    <w:lvl w:ilvl="0" w:tplc="42C85A3C">
      <w:numFmt w:val="bullet"/>
      <w:lvlText w:val="-"/>
      <w:lvlJc w:val="left"/>
      <w:pPr>
        <w:tabs>
          <w:tab w:val="num" w:pos="720"/>
        </w:tabs>
        <w:ind w:left="720" w:hanging="360"/>
      </w:pPr>
      <w:rPr>
        <w:rFonts w:ascii="Arial" w:eastAsia="Times New Roman" w:hAnsi="Arial" w:cs="Aria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A241B"/>
    <w:multiLevelType w:val="hybridMultilevel"/>
    <w:tmpl w:val="3CB6A2C0"/>
    <w:lvl w:ilvl="0" w:tplc="614EF22E">
      <w:start w:val="1"/>
      <w:numFmt w:val="decimal"/>
      <w:lvlText w:val="%1"/>
      <w:lvlJc w:val="left"/>
      <w:pPr>
        <w:tabs>
          <w:tab w:val="num" w:pos="360"/>
        </w:tabs>
        <w:ind w:left="360" w:hanging="360"/>
      </w:pPr>
      <w:rPr>
        <w:rFonts w:hint="default"/>
      </w:rPr>
    </w:lvl>
    <w:lvl w:ilvl="1" w:tplc="614EF22E">
      <w:start w:val="1"/>
      <w:numFmt w:val="decimal"/>
      <w:lvlText w:val="%2"/>
      <w:lvlJc w:val="left"/>
      <w:pPr>
        <w:tabs>
          <w:tab w:val="num" w:pos="360"/>
        </w:tabs>
        <w:ind w:left="360" w:hanging="360"/>
      </w:pPr>
      <w:rPr>
        <w:rFonts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5" w15:restartNumberingAfterBreak="0">
    <w:nsid w:val="1C5D5A17"/>
    <w:multiLevelType w:val="hybridMultilevel"/>
    <w:tmpl w:val="D410F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338B"/>
    <w:multiLevelType w:val="hybridMultilevel"/>
    <w:tmpl w:val="2CA4D6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73219"/>
    <w:multiLevelType w:val="hybridMultilevel"/>
    <w:tmpl w:val="2B584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962C28"/>
    <w:multiLevelType w:val="hybridMultilevel"/>
    <w:tmpl w:val="69A8CD7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9" w15:restartNumberingAfterBreak="0">
    <w:nsid w:val="37A7428E"/>
    <w:multiLevelType w:val="hybridMultilevel"/>
    <w:tmpl w:val="25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33F84"/>
    <w:multiLevelType w:val="hybridMultilevel"/>
    <w:tmpl w:val="19D66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114CD"/>
    <w:multiLevelType w:val="hybridMultilevel"/>
    <w:tmpl w:val="7D86E136"/>
    <w:lvl w:ilvl="0" w:tplc="8EACF0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376929"/>
    <w:multiLevelType w:val="hybridMultilevel"/>
    <w:tmpl w:val="8AF6AAE0"/>
    <w:lvl w:ilvl="0" w:tplc="4238DB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31EA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8150FAB"/>
    <w:multiLevelType w:val="hybridMultilevel"/>
    <w:tmpl w:val="7968249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9B90B2E"/>
    <w:multiLevelType w:val="hybridMultilevel"/>
    <w:tmpl w:val="969A025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54781B"/>
    <w:multiLevelType w:val="hybridMultilevel"/>
    <w:tmpl w:val="DDD00B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67511D9"/>
    <w:multiLevelType w:val="hybridMultilevel"/>
    <w:tmpl w:val="19DC8C34"/>
    <w:lvl w:ilvl="0" w:tplc="A4306F80">
      <w:start w:val="1"/>
      <w:numFmt w:val="decimal"/>
      <w:lvlText w:val="%1."/>
      <w:lvlJc w:val="left"/>
      <w:pPr>
        <w:ind w:left="720" w:hanging="360"/>
      </w:pPr>
      <w:rPr>
        <w:rFonts w:ascii="Helvetica" w:hAnsi="Helvetica" w:cs="Helvetic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4941BA"/>
    <w:multiLevelType w:val="hybridMultilevel"/>
    <w:tmpl w:val="94E8ECEC"/>
    <w:lvl w:ilvl="0" w:tplc="327045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92430"/>
    <w:multiLevelType w:val="multilevel"/>
    <w:tmpl w:val="0736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865B0"/>
    <w:multiLevelType w:val="hybridMultilevel"/>
    <w:tmpl w:val="D6CE5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CE2370"/>
    <w:multiLevelType w:val="hybridMultilevel"/>
    <w:tmpl w:val="4C5014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9C1BFE"/>
    <w:multiLevelType w:val="hybridMultilevel"/>
    <w:tmpl w:val="1326041A"/>
    <w:lvl w:ilvl="0" w:tplc="0526FA26">
      <w:numFmt w:val="bullet"/>
      <w:lvlText w:val="-"/>
      <w:lvlJc w:val="left"/>
      <w:pPr>
        <w:tabs>
          <w:tab w:val="num" w:pos="720"/>
        </w:tabs>
        <w:ind w:left="720" w:hanging="360"/>
      </w:pPr>
      <w:rPr>
        <w:rFonts w:ascii="Arial" w:eastAsia="Times New Roma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20"/>
  </w:num>
  <w:num w:numId="4">
    <w:abstractNumId w:val="16"/>
  </w:num>
  <w:num w:numId="5">
    <w:abstractNumId w:val="13"/>
  </w:num>
  <w:num w:numId="6">
    <w:abstractNumId w:val="6"/>
  </w:num>
  <w:num w:numId="7">
    <w:abstractNumId w:val="2"/>
  </w:num>
  <w:num w:numId="8">
    <w:abstractNumId w:val="5"/>
  </w:num>
  <w:num w:numId="9">
    <w:abstractNumId w:val="10"/>
  </w:num>
  <w:num w:numId="10">
    <w:abstractNumId w:val="4"/>
  </w:num>
  <w:num w:numId="11">
    <w:abstractNumId w:val="19"/>
  </w:num>
  <w:num w:numId="12">
    <w:abstractNumId w:val="21"/>
  </w:num>
  <w:num w:numId="13">
    <w:abstractNumId w:val="3"/>
  </w:num>
  <w:num w:numId="14">
    <w:abstractNumId w:val="9"/>
  </w:num>
  <w:num w:numId="15">
    <w:abstractNumId w:val="0"/>
  </w:num>
  <w:num w:numId="16">
    <w:abstractNumId w:val="17"/>
  </w:num>
  <w:num w:numId="17">
    <w:abstractNumId w:val="1"/>
  </w:num>
  <w:num w:numId="18">
    <w:abstractNumId w:val="18"/>
  </w:num>
  <w:num w:numId="19">
    <w:abstractNumId w:val="11"/>
  </w:num>
  <w:num w:numId="20">
    <w:abstractNumId w:val="14"/>
  </w:num>
  <w:num w:numId="21">
    <w:abstractNumId w:val="7"/>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E1"/>
    <w:rsid w:val="00001DAA"/>
    <w:rsid w:val="000171AE"/>
    <w:rsid w:val="00017B20"/>
    <w:rsid w:val="00022965"/>
    <w:rsid w:val="00034ED2"/>
    <w:rsid w:val="000548E1"/>
    <w:rsid w:val="0006680E"/>
    <w:rsid w:val="000757BA"/>
    <w:rsid w:val="000B70FA"/>
    <w:rsid w:val="000C6C5D"/>
    <w:rsid w:val="000F0812"/>
    <w:rsid w:val="000F6E2F"/>
    <w:rsid w:val="001132A7"/>
    <w:rsid w:val="00150C82"/>
    <w:rsid w:val="001538D3"/>
    <w:rsid w:val="00156E93"/>
    <w:rsid w:val="001812BE"/>
    <w:rsid w:val="001F243F"/>
    <w:rsid w:val="00246544"/>
    <w:rsid w:val="002466F5"/>
    <w:rsid w:val="0029461C"/>
    <w:rsid w:val="002A052C"/>
    <w:rsid w:val="002A4E7B"/>
    <w:rsid w:val="0035411C"/>
    <w:rsid w:val="00364046"/>
    <w:rsid w:val="00371E63"/>
    <w:rsid w:val="003B1DB0"/>
    <w:rsid w:val="003D0C3E"/>
    <w:rsid w:val="003E05CD"/>
    <w:rsid w:val="003E3ED0"/>
    <w:rsid w:val="00432726"/>
    <w:rsid w:val="00483BEA"/>
    <w:rsid w:val="00492934"/>
    <w:rsid w:val="004940BF"/>
    <w:rsid w:val="00494FDE"/>
    <w:rsid w:val="004A01AB"/>
    <w:rsid w:val="004A700E"/>
    <w:rsid w:val="004E02EF"/>
    <w:rsid w:val="005706F2"/>
    <w:rsid w:val="005C4347"/>
    <w:rsid w:val="005D25A9"/>
    <w:rsid w:val="005D71A0"/>
    <w:rsid w:val="005E02FB"/>
    <w:rsid w:val="005F66D0"/>
    <w:rsid w:val="00611D27"/>
    <w:rsid w:val="00630B4A"/>
    <w:rsid w:val="00635E39"/>
    <w:rsid w:val="0069357A"/>
    <w:rsid w:val="006A197A"/>
    <w:rsid w:val="006B3ADF"/>
    <w:rsid w:val="006C31E7"/>
    <w:rsid w:val="006C565B"/>
    <w:rsid w:val="006E2EB7"/>
    <w:rsid w:val="006F4392"/>
    <w:rsid w:val="00762498"/>
    <w:rsid w:val="007C1816"/>
    <w:rsid w:val="007C3CAD"/>
    <w:rsid w:val="007E6415"/>
    <w:rsid w:val="0080520F"/>
    <w:rsid w:val="008225A1"/>
    <w:rsid w:val="00826256"/>
    <w:rsid w:val="00826761"/>
    <w:rsid w:val="008409A6"/>
    <w:rsid w:val="00840C31"/>
    <w:rsid w:val="0089642F"/>
    <w:rsid w:val="008A6B02"/>
    <w:rsid w:val="009200A9"/>
    <w:rsid w:val="009543D2"/>
    <w:rsid w:val="00957B5B"/>
    <w:rsid w:val="009D41E1"/>
    <w:rsid w:val="009F036E"/>
    <w:rsid w:val="009F6752"/>
    <w:rsid w:val="009F73E6"/>
    <w:rsid w:val="00A10FFE"/>
    <w:rsid w:val="00A15B87"/>
    <w:rsid w:val="00A37061"/>
    <w:rsid w:val="00AC44FD"/>
    <w:rsid w:val="00AC49C9"/>
    <w:rsid w:val="00AD4399"/>
    <w:rsid w:val="00B85303"/>
    <w:rsid w:val="00B87244"/>
    <w:rsid w:val="00B946AB"/>
    <w:rsid w:val="00BC5EF1"/>
    <w:rsid w:val="00BF10AE"/>
    <w:rsid w:val="00BF12CB"/>
    <w:rsid w:val="00C202AF"/>
    <w:rsid w:val="00C55766"/>
    <w:rsid w:val="00C702A3"/>
    <w:rsid w:val="00C96100"/>
    <w:rsid w:val="00CA11D7"/>
    <w:rsid w:val="00CA31AE"/>
    <w:rsid w:val="00CA7F72"/>
    <w:rsid w:val="00CC0D0F"/>
    <w:rsid w:val="00CC5569"/>
    <w:rsid w:val="00CF0FEE"/>
    <w:rsid w:val="00D74C87"/>
    <w:rsid w:val="00DF6850"/>
    <w:rsid w:val="00E07235"/>
    <w:rsid w:val="00E20F00"/>
    <w:rsid w:val="00E35976"/>
    <w:rsid w:val="00E85AB8"/>
    <w:rsid w:val="00E85C83"/>
    <w:rsid w:val="00E930E6"/>
    <w:rsid w:val="00EB0955"/>
    <w:rsid w:val="00F12A88"/>
    <w:rsid w:val="00F20F04"/>
    <w:rsid w:val="00F35702"/>
    <w:rsid w:val="00FB5678"/>
    <w:rsid w:val="00FC7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8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48E1"/>
    <w:rPr>
      <w:rFonts w:ascii="Arial" w:hAnsi="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48E1"/>
    <w:pPr>
      <w:tabs>
        <w:tab w:val="center" w:pos="4153"/>
        <w:tab w:val="right" w:pos="8306"/>
      </w:tabs>
    </w:pPr>
  </w:style>
  <w:style w:type="paragraph" w:styleId="Footer">
    <w:name w:val="footer"/>
    <w:basedOn w:val="Normal"/>
    <w:rsid w:val="000548E1"/>
    <w:pPr>
      <w:tabs>
        <w:tab w:val="center" w:pos="4153"/>
        <w:tab w:val="right" w:pos="8306"/>
      </w:tabs>
    </w:pPr>
  </w:style>
  <w:style w:type="character" w:styleId="CommentReference">
    <w:name w:val="annotation reference"/>
    <w:semiHidden/>
    <w:rsid w:val="000548E1"/>
    <w:rPr>
      <w:sz w:val="16"/>
      <w:szCs w:val="16"/>
    </w:rPr>
  </w:style>
  <w:style w:type="paragraph" w:styleId="CommentText">
    <w:name w:val="annotation text"/>
    <w:basedOn w:val="Normal"/>
    <w:semiHidden/>
    <w:rsid w:val="000548E1"/>
  </w:style>
  <w:style w:type="paragraph" w:styleId="BalloonText">
    <w:name w:val="Balloon Text"/>
    <w:basedOn w:val="Normal"/>
    <w:semiHidden/>
    <w:rsid w:val="000548E1"/>
    <w:rPr>
      <w:rFonts w:ascii="Tahoma" w:hAnsi="Tahoma" w:cs="Tahoma"/>
      <w:sz w:val="16"/>
      <w:szCs w:val="16"/>
    </w:rPr>
  </w:style>
  <w:style w:type="paragraph" w:customStyle="1" w:styleId="BigTableBlue">
    <w:name w:val="Big Table Blue"/>
    <w:basedOn w:val="Normal"/>
    <w:rsid w:val="00896D54"/>
    <w:pPr>
      <w:spacing w:before="20" w:after="20" w:line="240" w:lineRule="atLeast"/>
      <w:ind w:left="113"/>
    </w:pPr>
    <w:rPr>
      <w:bCs/>
      <w:iCs/>
      <w:color w:val="0000FF"/>
    </w:rPr>
  </w:style>
  <w:style w:type="paragraph" w:styleId="CommentSubject">
    <w:name w:val="annotation subject"/>
    <w:basedOn w:val="CommentText"/>
    <w:next w:val="CommentText"/>
    <w:semiHidden/>
    <w:rsid w:val="00B14B7F"/>
    <w:rPr>
      <w:b/>
      <w:bCs/>
    </w:rPr>
  </w:style>
  <w:style w:type="paragraph" w:styleId="NormalWeb">
    <w:name w:val="Normal (Web)"/>
    <w:basedOn w:val="Normal"/>
    <w:rsid w:val="0043272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A15B87"/>
    <w:pPr>
      <w:ind w:left="720"/>
    </w:pPr>
  </w:style>
  <w:style w:type="character" w:styleId="Emphasis">
    <w:name w:val="Emphasis"/>
    <w:basedOn w:val="DefaultParagraphFont"/>
    <w:uiPriority w:val="20"/>
    <w:qFormat/>
    <w:rsid w:val="00FC709C"/>
    <w:rPr>
      <w:b/>
      <w:bCs/>
      <w:i w:val="0"/>
      <w:iCs w:val="0"/>
    </w:rPr>
  </w:style>
  <w:style w:type="character" w:customStyle="1" w:styleId="st">
    <w:name w:val="st"/>
    <w:basedOn w:val="DefaultParagraphFont"/>
    <w:rsid w:val="00FC709C"/>
  </w:style>
  <w:style w:type="character" w:customStyle="1" w:styleId="HeaderChar">
    <w:name w:val="Header Char"/>
    <w:basedOn w:val="DefaultParagraphFont"/>
    <w:link w:val="Header"/>
    <w:uiPriority w:val="99"/>
    <w:rsid w:val="00762498"/>
    <w:rPr>
      <w:rFonts w:ascii="Arial" w:hAnsi="Arial"/>
      <w:lang w:val="en-US" w:eastAsia="en-US"/>
    </w:rPr>
  </w:style>
  <w:style w:type="character" w:customStyle="1" w:styleId="A1">
    <w:name w:val="A1"/>
    <w:uiPriority w:val="99"/>
    <w:rsid w:val="001812BE"/>
    <w:rPr>
      <w:rFonts w:cs="Avenir LT Std 45 Book"/>
      <w:color w:val="6B6F7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14921">
      <w:bodyDiv w:val="1"/>
      <w:marLeft w:val="0"/>
      <w:marRight w:val="0"/>
      <w:marTop w:val="0"/>
      <w:marBottom w:val="0"/>
      <w:divBdr>
        <w:top w:val="none" w:sz="0" w:space="0" w:color="auto"/>
        <w:left w:val="none" w:sz="0" w:space="0" w:color="auto"/>
        <w:bottom w:val="none" w:sz="0" w:space="0" w:color="auto"/>
        <w:right w:val="none" w:sz="0" w:space="0" w:color="auto"/>
      </w:divBdr>
    </w:div>
    <w:div w:id="753476156">
      <w:bodyDiv w:val="1"/>
      <w:marLeft w:val="0"/>
      <w:marRight w:val="0"/>
      <w:marTop w:val="0"/>
      <w:marBottom w:val="0"/>
      <w:divBdr>
        <w:top w:val="none" w:sz="0" w:space="0" w:color="auto"/>
        <w:left w:val="none" w:sz="0" w:space="0" w:color="auto"/>
        <w:bottom w:val="none" w:sz="0" w:space="0" w:color="auto"/>
        <w:right w:val="none" w:sz="0" w:space="0" w:color="auto"/>
      </w:divBdr>
    </w:div>
    <w:div w:id="806584011">
      <w:bodyDiv w:val="1"/>
      <w:marLeft w:val="0"/>
      <w:marRight w:val="0"/>
      <w:marTop w:val="0"/>
      <w:marBottom w:val="0"/>
      <w:divBdr>
        <w:top w:val="none" w:sz="0" w:space="0" w:color="auto"/>
        <w:left w:val="none" w:sz="0" w:space="0" w:color="auto"/>
        <w:bottom w:val="none" w:sz="0" w:space="0" w:color="auto"/>
        <w:right w:val="none" w:sz="0" w:space="0" w:color="auto"/>
      </w:divBdr>
    </w:div>
    <w:div w:id="976956392">
      <w:bodyDiv w:val="1"/>
      <w:marLeft w:val="0"/>
      <w:marRight w:val="0"/>
      <w:marTop w:val="0"/>
      <w:marBottom w:val="0"/>
      <w:divBdr>
        <w:top w:val="none" w:sz="0" w:space="0" w:color="auto"/>
        <w:left w:val="none" w:sz="0" w:space="0" w:color="auto"/>
        <w:bottom w:val="none" w:sz="0" w:space="0" w:color="auto"/>
        <w:right w:val="none" w:sz="0" w:space="0" w:color="auto"/>
      </w:divBdr>
    </w:div>
    <w:div w:id="1032346253">
      <w:bodyDiv w:val="1"/>
      <w:marLeft w:val="0"/>
      <w:marRight w:val="0"/>
      <w:marTop w:val="0"/>
      <w:marBottom w:val="0"/>
      <w:divBdr>
        <w:top w:val="none" w:sz="0" w:space="0" w:color="auto"/>
        <w:left w:val="none" w:sz="0" w:space="0" w:color="auto"/>
        <w:bottom w:val="none" w:sz="0" w:space="0" w:color="auto"/>
        <w:right w:val="none" w:sz="0" w:space="0" w:color="auto"/>
      </w:divBdr>
    </w:div>
    <w:div w:id="1340739198">
      <w:bodyDiv w:val="1"/>
      <w:marLeft w:val="0"/>
      <w:marRight w:val="0"/>
      <w:marTop w:val="0"/>
      <w:marBottom w:val="0"/>
      <w:divBdr>
        <w:top w:val="none" w:sz="0" w:space="0" w:color="auto"/>
        <w:left w:val="none" w:sz="0" w:space="0" w:color="auto"/>
        <w:bottom w:val="none" w:sz="0" w:space="0" w:color="auto"/>
        <w:right w:val="none" w:sz="0" w:space="0" w:color="auto"/>
      </w:divBdr>
    </w:div>
    <w:div w:id="1472670071">
      <w:bodyDiv w:val="1"/>
      <w:marLeft w:val="0"/>
      <w:marRight w:val="0"/>
      <w:marTop w:val="0"/>
      <w:marBottom w:val="0"/>
      <w:divBdr>
        <w:top w:val="none" w:sz="0" w:space="0" w:color="auto"/>
        <w:left w:val="none" w:sz="0" w:space="0" w:color="auto"/>
        <w:bottom w:val="none" w:sz="0" w:space="0" w:color="auto"/>
        <w:right w:val="none" w:sz="0" w:space="0" w:color="auto"/>
      </w:divBdr>
    </w:div>
    <w:div w:id="1903325240">
      <w:bodyDiv w:val="1"/>
      <w:marLeft w:val="0"/>
      <w:marRight w:val="0"/>
      <w:marTop w:val="0"/>
      <w:marBottom w:val="0"/>
      <w:divBdr>
        <w:top w:val="none" w:sz="0" w:space="0" w:color="auto"/>
        <w:left w:val="none" w:sz="0" w:space="0" w:color="auto"/>
        <w:bottom w:val="none" w:sz="0" w:space="0" w:color="auto"/>
        <w:right w:val="none" w:sz="0" w:space="0" w:color="auto"/>
      </w:divBdr>
    </w:div>
    <w:div w:id="202011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ks.co.uk/userfiles/files/TH18/Indicators_201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2E722-229E-4D9A-82F4-BA2B56C5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2017-03-30T13:36:00Z</dcterms:created>
  <dcterms:modified xsi:type="dcterms:W3CDTF">2018-05-14T13:29:00Z</dcterms:modified>
</cp:coreProperties>
</file>